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sz w:val="28"/>
          <w:szCs w:val="28"/>
        </w:rPr>
      </w:pPr>
      <w:r w:rsidDel="00000000" w:rsidR="00000000" w:rsidRPr="00000000">
        <w:rPr>
          <w:b w:val="1"/>
          <w:sz w:val="28"/>
          <w:szCs w:val="28"/>
          <w:rtl w:val="0"/>
        </w:rPr>
        <w:t xml:space="preserve">ETHNICITY PAY GAP 2022/23</w:t>
      </w:r>
    </w:p>
    <w:p w:rsidR="00000000" w:rsidDel="00000000" w:rsidP="00000000" w:rsidRDefault="00000000" w:rsidRPr="00000000" w14:paraId="00000002">
      <w:pPr>
        <w:spacing w:after="200" w:line="276" w:lineRule="auto"/>
        <w:rPr>
          <w:sz w:val="24"/>
          <w:szCs w:val="24"/>
        </w:rPr>
      </w:pPr>
      <w:r w:rsidDel="00000000" w:rsidR="00000000" w:rsidRPr="00000000">
        <w:rPr>
          <w:rtl w:val="0"/>
        </w:rPr>
      </w:r>
    </w:p>
    <w:p w:rsidR="00000000" w:rsidDel="00000000" w:rsidP="00000000" w:rsidRDefault="00000000" w:rsidRPr="00000000" w14:paraId="00000003">
      <w:pPr>
        <w:spacing w:after="200" w:line="276" w:lineRule="auto"/>
        <w:rPr>
          <w:b w:val="1"/>
          <w:sz w:val="24"/>
          <w:szCs w:val="24"/>
        </w:rPr>
      </w:pPr>
      <w:r w:rsidDel="00000000" w:rsidR="00000000" w:rsidRPr="00000000">
        <w:rPr>
          <w:b w:val="1"/>
          <w:sz w:val="24"/>
          <w:szCs w:val="24"/>
          <w:rtl w:val="0"/>
        </w:rPr>
        <w:t xml:space="preserve">About Brunelcare </w:t>
      </w:r>
    </w:p>
    <w:p w:rsidR="00000000" w:rsidDel="00000000" w:rsidP="00000000" w:rsidRDefault="00000000" w:rsidRPr="00000000" w14:paraId="00000004">
      <w:pPr>
        <w:spacing w:after="200" w:line="276" w:lineRule="auto"/>
        <w:jc w:val="both"/>
        <w:rPr>
          <w:sz w:val="24"/>
          <w:szCs w:val="24"/>
        </w:rPr>
      </w:pPr>
      <w:r w:rsidDel="00000000" w:rsidR="00000000" w:rsidRPr="00000000">
        <w:rPr>
          <w:sz w:val="24"/>
          <w:szCs w:val="24"/>
          <w:rtl w:val="0"/>
        </w:rPr>
        <w:t xml:space="preserve">Established in 1941, Brunelcare is a Bristol based charity providing high quality housing, care and support for later living in the South West. </w:t>
      </w:r>
    </w:p>
    <w:p w:rsidR="00000000" w:rsidDel="00000000" w:rsidP="00000000" w:rsidRDefault="00000000" w:rsidRPr="00000000" w14:paraId="00000005">
      <w:pPr>
        <w:spacing w:after="200" w:line="276" w:lineRule="auto"/>
        <w:jc w:val="both"/>
        <w:rPr>
          <w:sz w:val="24"/>
          <w:szCs w:val="24"/>
        </w:rPr>
      </w:pPr>
      <w:r w:rsidDel="00000000" w:rsidR="00000000" w:rsidRPr="00000000">
        <w:rPr>
          <w:sz w:val="24"/>
          <w:szCs w:val="24"/>
          <w:rtl w:val="0"/>
        </w:rPr>
        <w:t xml:space="preserve">Today, across Bristol, South Gloucestershire and Somerset, Brunelcare works to support over 2,000 people to remain as independent as possible, for as long as possible.</w:t>
      </w:r>
    </w:p>
    <w:p w:rsidR="00000000" w:rsidDel="00000000" w:rsidP="00000000" w:rsidRDefault="00000000" w:rsidRPr="00000000" w14:paraId="00000006">
      <w:pPr>
        <w:spacing w:after="200" w:line="276" w:lineRule="auto"/>
        <w:jc w:val="both"/>
        <w:rPr>
          <w:sz w:val="24"/>
          <w:szCs w:val="24"/>
        </w:rPr>
      </w:pPr>
      <w:r w:rsidDel="00000000" w:rsidR="00000000" w:rsidRPr="00000000">
        <w:rPr>
          <w:sz w:val="24"/>
          <w:szCs w:val="24"/>
          <w:rtl w:val="0"/>
        </w:rPr>
        <w:t xml:space="preserve">Care is provided in people’s own homes, in specialist care homes and our three reablement facilities.</w:t>
      </w:r>
    </w:p>
    <w:p w:rsidR="00000000" w:rsidDel="00000000" w:rsidP="00000000" w:rsidRDefault="00000000" w:rsidRPr="00000000" w14:paraId="00000007">
      <w:pPr>
        <w:spacing w:after="200" w:line="276" w:lineRule="auto"/>
        <w:jc w:val="both"/>
        <w:rPr>
          <w:sz w:val="24"/>
          <w:szCs w:val="24"/>
        </w:rPr>
      </w:pPr>
      <w:r w:rsidDel="00000000" w:rsidR="00000000" w:rsidRPr="00000000">
        <w:rPr>
          <w:sz w:val="24"/>
          <w:szCs w:val="24"/>
          <w:rtl w:val="0"/>
        </w:rPr>
        <w:t xml:space="preserve">Housing is provided by 1,150 properties, across 33 sites, three extra care housing sites and a retirement village.</w:t>
      </w:r>
    </w:p>
    <w:p w:rsidR="00000000" w:rsidDel="00000000" w:rsidP="00000000" w:rsidRDefault="00000000" w:rsidRPr="00000000" w14:paraId="00000008">
      <w:pPr>
        <w:spacing w:after="200" w:line="276" w:lineRule="auto"/>
        <w:jc w:val="both"/>
        <w:rPr>
          <w:sz w:val="24"/>
          <w:szCs w:val="24"/>
        </w:rPr>
      </w:pPr>
      <w:r w:rsidDel="00000000" w:rsidR="00000000" w:rsidRPr="00000000">
        <w:rPr>
          <w:sz w:val="24"/>
          <w:szCs w:val="24"/>
          <w:rtl w:val="0"/>
        </w:rPr>
        <w:t xml:space="preserve">To deliver all of its vital services Brunelcare employs a dedicated team of 1,000 people.</w:t>
      </w:r>
    </w:p>
    <w:p w:rsidR="00000000" w:rsidDel="00000000" w:rsidP="00000000" w:rsidRDefault="00000000" w:rsidRPr="00000000" w14:paraId="00000009">
      <w:pPr>
        <w:spacing w:after="200" w:line="276" w:lineRule="auto"/>
        <w:jc w:val="both"/>
        <w:rPr>
          <w:sz w:val="24"/>
          <w:szCs w:val="24"/>
        </w:rPr>
      </w:pPr>
      <w:r w:rsidDel="00000000" w:rsidR="00000000" w:rsidRPr="00000000">
        <w:rPr>
          <w:sz w:val="24"/>
          <w:szCs w:val="24"/>
          <w:rtl w:val="0"/>
        </w:rPr>
        <w:t xml:space="preserve">The extensive range of our services means that people can stay with us however their needs may change.</w:t>
      </w:r>
    </w:p>
    <w:p w:rsidR="00000000" w:rsidDel="00000000" w:rsidP="00000000" w:rsidRDefault="00000000" w:rsidRPr="00000000" w14:paraId="0000000A">
      <w:pPr>
        <w:spacing w:after="200" w:line="276" w:lineRule="auto"/>
        <w:jc w:val="both"/>
        <w:rPr>
          <w:sz w:val="24"/>
          <w:szCs w:val="24"/>
        </w:rPr>
      </w:pPr>
      <w:r w:rsidDel="00000000" w:rsidR="00000000" w:rsidRPr="00000000">
        <w:rPr>
          <w:sz w:val="24"/>
          <w:szCs w:val="24"/>
          <w:rtl w:val="0"/>
        </w:rPr>
        <w:t xml:space="preserve">We are also widely recognised for our expertise and excellence in caring for people living with dementia and for supporting their families.</w:t>
      </w:r>
    </w:p>
    <w:p w:rsidR="00000000" w:rsidDel="00000000" w:rsidP="00000000" w:rsidRDefault="00000000" w:rsidRPr="00000000" w14:paraId="0000000B">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0C">
      <w:pPr>
        <w:spacing w:line="276" w:lineRule="auto"/>
        <w:jc w:val="both"/>
        <w:rPr>
          <w:b w:val="1"/>
          <w:sz w:val="24"/>
          <w:szCs w:val="24"/>
        </w:rPr>
      </w:pPr>
      <w:r w:rsidDel="00000000" w:rsidR="00000000" w:rsidRPr="00000000">
        <w:rPr>
          <w:b w:val="1"/>
          <w:sz w:val="24"/>
          <w:szCs w:val="24"/>
          <w:rtl w:val="0"/>
        </w:rPr>
        <w:t xml:space="preserve">What is an ethnicity pay gap?</w:t>
      </w:r>
    </w:p>
    <w:p w:rsidR="00000000" w:rsidDel="00000000" w:rsidP="00000000" w:rsidRDefault="00000000" w:rsidRPr="00000000" w14:paraId="0000000D">
      <w:pPr>
        <w:spacing w:line="276" w:lineRule="auto"/>
        <w:jc w:val="both"/>
        <w:rPr>
          <w:sz w:val="24"/>
          <w:szCs w:val="24"/>
        </w:rPr>
      </w:pPr>
      <w:r w:rsidDel="00000000" w:rsidR="00000000" w:rsidRPr="00000000">
        <w:rPr>
          <w:rtl w:val="0"/>
        </w:rPr>
      </w:r>
    </w:p>
    <w:p w:rsidR="00000000" w:rsidDel="00000000" w:rsidP="00000000" w:rsidRDefault="00000000" w:rsidRPr="00000000" w14:paraId="0000000E">
      <w:pPr>
        <w:spacing w:line="276" w:lineRule="auto"/>
        <w:jc w:val="both"/>
        <w:rPr>
          <w:sz w:val="24"/>
          <w:szCs w:val="24"/>
        </w:rPr>
      </w:pPr>
      <w:r w:rsidDel="00000000" w:rsidR="00000000" w:rsidRPr="00000000">
        <w:rPr>
          <w:sz w:val="24"/>
          <w:szCs w:val="24"/>
          <w:rtl w:val="0"/>
        </w:rPr>
        <w:t xml:space="preserve">At Brunelcare we consider our diversity to be one of our key strengths. Indeed, one of our organisational values is: ‘we are diverse and one team’. We know we must do more than simply state it, we must act to improve our diversity, to better represent the communities we serve and to remove barriers to access employment.</w:t>
      </w:r>
    </w:p>
    <w:p w:rsidR="00000000" w:rsidDel="00000000" w:rsidP="00000000" w:rsidRDefault="00000000" w:rsidRPr="00000000" w14:paraId="0000000F">
      <w:pPr>
        <w:spacing w:line="276" w:lineRule="auto"/>
        <w:jc w:val="both"/>
        <w:rPr>
          <w:sz w:val="24"/>
          <w:szCs w:val="24"/>
        </w:rPr>
      </w:pPr>
      <w:r w:rsidDel="00000000" w:rsidR="00000000" w:rsidRPr="00000000">
        <w:rPr>
          <w:rtl w:val="0"/>
        </w:rPr>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rtl w:val="0"/>
        </w:rPr>
        <w:t xml:space="preserve">To do this, it is essential that we have accurate information so we understand our current situation and any positive trends.</w:t>
      </w:r>
    </w:p>
    <w:p w:rsidR="00000000" w:rsidDel="00000000" w:rsidP="00000000" w:rsidRDefault="00000000" w:rsidRPr="00000000" w14:paraId="00000011">
      <w:pPr>
        <w:spacing w:line="276" w:lineRule="auto"/>
        <w:jc w:val="both"/>
        <w:rPr>
          <w:sz w:val="24"/>
          <w:szCs w:val="24"/>
        </w:rPr>
      </w:pPr>
      <w:r w:rsidDel="00000000" w:rsidR="00000000" w:rsidRPr="00000000">
        <w:rPr>
          <w:rtl w:val="0"/>
        </w:rPr>
      </w:r>
    </w:p>
    <w:p w:rsidR="00000000" w:rsidDel="00000000" w:rsidP="00000000" w:rsidRDefault="00000000" w:rsidRPr="00000000" w14:paraId="00000012">
      <w:pPr>
        <w:spacing w:line="276" w:lineRule="auto"/>
        <w:jc w:val="both"/>
        <w:rPr>
          <w:sz w:val="24"/>
          <w:szCs w:val="24"/>
        </w:rPr>
      </w:pPr>
      <w:r w:rsidDel="00000000" w:rsidR="00000000" w:rsidRPr="00000000">
        <w:rPr>
          <w:sz w:val="24"/>
          <w:szCs w:val="24"/>
          <w:rtl w:val="0"/>
        </w:rPr>
        <w:t xml:space="preserve">There is currently no legal requirement for employers to monitor or publish data comparisons in regard to their ethnicity pay gap or any other group apart from gender. However, doing so presents an accurate picture of our pay gap, publishing an ethnicity pay gap report (also known as a race pay gap report) can help us focus on our long-term diversity and inclusion goals.</w:t>
      </w:r>
    </w:p>
    <w:p w:rsidR="00000000" w:rsidDel="00000000" w:rsidP="00000000" w:rsidRDefault="00000000" w:rsidRPr="00000000" w14:paraId="00000013">
      <w:pPr>
        <w:spacing w:line="276" w:lineRule="auto"/>
        <w:jc w:val="both"/>
        <w:rPr>
          <w:sz w:val="24"/>
          <w:szCs w:val="24"/>
        </w:rPr>
      </w:pPr>
      <w:r w:rsidDel="00000000" w:rsidR="00000000" w:rsidRPr="00000000">
        <w:rPr>
          <w:rtl w:val="0"/>
        </w:rPr>
      </w:r>
    </w:p>
    <w:p w:rsidR="00000000" w:rsidDel="00000000" w:rsidP="00000000" w:rsidRDefault="00000000" w:rsidRPr="00000000" w14:paraId="00000014">
      <w:pPr>
        <w:spacing w:line="276" w:lineRule="auto"/>
        <w:jc w:val="both"/>
        <w:rPr>
          <w:sz w:val="24"/>
          <w:szCs w:val="24"/>
        </w:rPr>
      </w:pPr>
      <w:r w:rsidDel="00000000" w:rsidR="00000000" w:rsidRPr="00000000">
        <w:rPr>
          <w:sz w:val="24"/>
          <w:szCs w:val="24"/>
          <w:rtl w:val="0"/>
        </w:rPr>
        <w:t xml:space="preserve">Just as publishing our gender pay gap report provides transparency around gender pay, preparing an ethnicity pay gap report helps us broaden the emphasis on equality in the workplace to focus on all of our employees, particularly those from ethnic minorities.</w:t>
      </w:r>
    </w:p>
    <w:p w:rsidR="00000000" w:rsidDel="00000000" w:rsidP="00000000" w:rsidRDefault="00000000" w:rsidRPr="00000000" w14:paraId="00000015">
      <w:pPr>
        <w:spacing w:line="276" w:lineRule="auto"/>
        <w:jc w:val="both"/>
        <w:rPr>
          <w:sz w:val="24"/>
          <w:szCs w:val="24"/>
        </w:rPr>
      </w:pPr>
      <w:r w:rsidDel="00000000" w:rsidR="00000000" w:rsidRPr="00000000">
        <w:rPr>
          <w:rtl w:val="0"/>
        </w:rPr>
      </w:r>
    </w:p>
    <w:p w:rsidR="00000000" w:rsidDel="00000000" w:rsidP="00000000" w:rsidRDefault="00000000" w:rsidRPr="00000000" w14:paraId="00000016">
      <w:pPr>
        <w:spacing w:line="276" w:lineRule="auto"/>
        <w:jc w:val="both"/>
        <w:rPr>
          <w:sz w:val="24"/>
          <w:szCs w:val="24"/>
        </w:rPr>
      </w:pPr>
      <w:r w:rsidDel="00000000" w:rsidR="00000000" w:rsidRPr="00000000">
        <w:rPr>
          <w:sz w:val="24"/>
          <w:szCs w:val="24"/>
          <w:rtl w:val="0"/>
        </w:rPr>
        <w:t xml:space="preserve">Over the last year we have been aiming to improve the equality information we hold on colleagues by providing incentives to colleagues to enter information on to the new HR system.</w:t>
      </w:r>
    </w:p>
    <w:p w:rsidR="00000000" w:rsidDel="00000000" w:rsidP="00000000" w:rsidRDefault="00000000" w:rsidRPr="00000000" w14:paraId="00000017">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18">
      <w:pPr>
        <w:spacing w:after="200" w:line="276" w:lineRule="auto"/>
        <w:jc w:val="both"/>
        <w:rPr>
          <w:b w:val="1"/>
          <w:color w:val="0f243e"/>
          <w:sz w:val="24"/>
          <w:szCs w:val="24"/>
        </w:rPr>
      </w:pPr>
      <w:r w:rsidDel="00000000" w:rsidR="00000000" w:rsidRPr="00000000">
        <w:rPr>
          <w:b w:val="1"/>
          <w:color w:val="0f243e"/>
          <w:sz w:val="24"/>
          <w:szCs w:val="24"/>
          <w:rtl w:val="0"/>
        </w:rPr>
        <w:t xml:space="preserve">The numbers</w:t>
      </w:r>
    </w:p>
    <w:p w:rsidR="00000000" w:rsidDel="00000000" w:rsidP="00000000" w:rsidRDefault="00000000" w:rsidRPr="00000000" w14:paraId="00000019">
      <w:pPr>
        <w:spacing w:line="276" w:lineRule="auto"/>
        <w:jc w:val="both"/>
        <w:rPr>
          <w:sz w:val="24"/>
          <w:szCs w:val="24"/>
        </w:rPr>
      </w:pPr>
      <w:r w:rsidDel="00000000" w:rsidR="00000000" w:rsidRPr="00000000">
        <w:rPr>
          <w:sz w:val="24"/>
          <w:szCs w:val="24"/>
          <w:rtl w:val="0"/>
        </w:rPr>
        <w:t xml:space="preserve">The total number of employees that form the basis of this report is 978.</w:t>
      </w:r>
    </w:p>
    <w:p w:rsidR="00000000" w:rsidDel="00000000" w:rsidP="00000000" w:rsidRDefault="00000000" w:rsidRPr="00000000" w14:paraId="0000001A">
      <w:pPr>
        <w:spacing w:line="276" w:lineRule="auto"/>
        <w:jc w:val="both"/>
        <w:rPr>
          <w:sz w:val="24"/>
          <w:szCs w:val="24"/>
        </w:rPr>
      </w:pPr>
      <w:r w:rsidDel="00000000" w:rsidR="00000000" w:rsidRPr="00000000">
        <w:rPr>
          <w:rtl w:val="0"/>
        </w:rPr>
      </w:r>
    </w:p>
    <w:p w:rsidR="00000000" w:rsidDel="00000000" w:rsidP="00000000" w:rsidRDefault="00000000" w:rsidRPr="00000000" w14:paraId="0000001B">
      <w:pPr>
        <w:spacing w:line="276" w:lineRule="auto"/>
        <w:jc w:val="both"/>
        <w:rPr>
          <w:sz w:val="24"/>
          <w:szCs w:val="24"/>
        </w:rPr>
      </w:pPr>
      <w:r w:rsidDel="00000000" w:rsidR="00000000" w:rsidRPr="00000000">
        <w:rPr>
          <w:sz w:val="24"/>
          <w:szCs w:val="24"/>
          <w:rtl w:val="0"/>
        </w:rPr>
        <w:t xml:space="preserve">Of the employees involved, 2.7% have yet to provide confirmation of their ethnicity so this report reports on three groups, those who identify as white, those who have identified as an ethnic minority and those who have not disclosed their ethnicity.</w:t>
      </w:r>
    </w:p>
    <w:p w:rsidR="00000000" w:rsidDel="00000000" w:rsidP="00000000" w:rsidRDefault="00000000" w:rsidRPr="00000000" w14:paraId="0000001C">
      <w:pPr>
        <w:spacing w:line="276" w:lineRule="auto"/>
        <w:jc w:val="both"/>
        <w:rPr>
          <w:sz w:val="24"/>
          <w:szCs w:val="24"/>
        </w:rPr>
      </w:pPr>
      <w:r w:rsidDel="00000000" w:rsidR="00000000" w:rsidRPr="00000000">
        <w:rPr>
          <w:rtl w:val="0"/>
        </w:rPr>
      </w:r>
    </w:p>
    <w:p w:rsidR="00000000" w:rsidDel="00000000" w:rsidP="00000000" w:rsidRDefault="00000000" w:rsidRPr="00000000" w14:paraId="0000001D">
      <w:pPr>
        <w:spacing w:line="276" w:lineRule="auto"/>
        <w:jc w:val="both"/>
        <w:rPr>
          <w:sz w:val="24"/>
          <w:szCs w:val="24"/>
        </w:rPr>
      </w:pPr>
      <w:r w:rsidDel="00000000" w:rsidR="00000000" w:rsidRPr="00000000">
        <w:rPr>
          <w:sz w:val="24"/>
          <w:szCs w:val="24"/>
          <w:rtl w:val="0"/>
        </w:rPr>
        <w:t xml:space="preserve">Of Brunelcare’s employees who identify with a minority ethnic group, on average they receive 97.1% when compared to our colleagues who describe themselves as ‘White’. </w:t>
      </w:r>
    </w:p>
    <w:p w:rsidR="00000000" w:rsidDel="00000000" w:rsidP="00000000" w:rsidRDefault="00000000" w:rsidRPr="00000000" w14:paraId="0000001E">
      <w:pPr>
        <w:spacing w:line="276" w:lineRule="auto"/>
        <w:jc w:val="both"/>
        <w:rPr>
          <w:sz w:val="24"/>
          <w:szCs w:val="24"/>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sz w:val="24"/>
          <w:szCs w:val="24"/>
          <w:rtl w:val="0"/>
        </w:rPr>
        <w:t xml:space="preserve">The average rates of pay per hour are shown below:</w:t>
      </w:r>
      <w:r w:rsidDel="00000000" w:rsidR="00000000" w:rsidRPr="00000000">
        <w:rPr>
          <w:rtl w:val="0"/>
        </w:rPr>
      </w:r>
    </w:p>
    <w:p w:rsidR="00000000" w:rsidDel="00000000" w:rsidP="00000000" w:rsidRDefault="00000000" w:rsidRPr="00000000" w14:paraId="00000020">
      <w:pPr>
        <w:spacing w:line="276" w:lineRule="auto"/>
        <w:jc w:val="both"/>
        <w:rPr>
          <w:sz w:val="24"/>
          <w:szCs w:val="24"/>
        </w:rPr>
      </w:pPr>
      <w:r w:rsidDel="00000000" w:rsidR="00000000" w:rsidRPr="00000000">
        <w:rPr/>
        <w:drawing>
          <wp:inline distB="114300" distT="114300" distL="114300" distR="114300">
            <wp:extent cx="4541588" cy="2806700"/>
            <wp:effectExtent b="0" l="0" r="0" t="0"/>
            <wp:docPr descr="Chart" id="3" name="image1.png"/>
            <a:graphic>
              <a:graphicData uri="http://schemas.openxmlformats.org/drawingml/2006/picture">
                <pic:pic>
                  <pic:nvPicPr>
                    <pic:cNvPr descr="Chart" id="0" name="image1.png"/>
                    <pic:cNvPicPr preferRelativeResize="0"/>
                  </pic:nvPicPr>
                  <pic:blipFill>
                    <a:blip r:embed="rId6"/>
                    <a:srcRect b="0" l="0" r="0" t="0"/>
                    <a:stretch>
                      <a:fillRect/>
                    </a:stretch>
                  </pic:blipFill>
                  <pic:spPr>
                    <a:xfrm>
                      <a:off x="0" y="0"/>
                      <a:ext cx="4541588" cy="28067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76" w:lineRule="auto"/>
        <w:jc w:val="both"/>
        <w:rPr>
          <w:sz w:val="24"/>
          <w:szCs w:val="24"/>
        </w:rPr>
      </w:pPr>
      <w:r w:rsidDel="00000000" w:rsidR="00000000" w:rsidRPr="00000000">
        <w:rPr>
          <w:rtl w:val="0"/>
        </w:rPr>
      </w:r>
    </w:p>
    <w:tbl>
      <w:tblPr>
        <w:tblStyle w:val="Table1"/>
        <w:tblW w:w="5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040"/>
        <w:gridCol w:w="1500"/>
        <w:tblGridChange w:id="0">
          <w:tblGrid>
            <w:gridCol w:w="2340"/>
            <w:gridCol w:w="2040"/>
            <w:gridCol w:w="1500"/>
          </w:tblGrid>
        </w:tblGridChange>
      </w:tblGrid>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b w:val="1"/>
                <w:sz w:val="20"/>
                <w:szCs w:val="20"/>
                <w:rtl w:val="0"/>
              </w:rPr>
              <w:t xml:space="preserve">Brunelcare</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b w:val="1"/>
                <w:sz w:val="20"/>
                <w:szCs w:val="20"/>
                <w:rtl w:val="0"/>
              </w:rPr>
              <w:t xml:space="preserve">Average hourly rate</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White</w:t>
            </w:r>
          </w:p>
        </w:tc>
        <w:tc>
          <w:tcPr>
            <w:tcBorders>
              <w:top w:color="000000" w:space="0" w:sz="5" w:val="single"/>
              <w:left w:color="000000"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6">
            <w:pPr>
              <w:widowControl w:val="0"/>
              <w:jc w:val="right"/>
              <w:rPr>
                <w:sz w:val="20"/>
                <w:szCs w:val="20"/>
              </w:rPr>
            </w:pPr>
            <w:r w:rsidDel="00000000" w:rsidR="00000000" w:rsidRPr="00000000">
              <w:rPr>
                <w:rFonts w:ascii="Calibri" w:cs="Calibri" w:eastAsia="Calibri" w:hAnsi="Calibri"/>
                <w:rtl w:val="0"/>
              </w:rPr>
              <w:t xml:space="preserve">£12.48</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jc w:val="right"/>
              <w:rPr>
                <w:sz w:val="20"/>
                <w:szCs w:val="20"/>
              </w:rPr>
            </w:pPr>
            <w:r w:rsidDel="00000000" w:rsidR="00000000" w:rsidRPr="00000000">
              <w:rPr>
                <w:sz w:val="20"/>
                <w:szCs w:val="20"/>
                <w:rtl w:val="0"/>
              </w:rPr>
              <w:t xml:space="preserve">100.0%</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Ethnic minority</w:t>
            </w:r>
          </w:p>
        </w:tc>
        <w:tc>
          <w:tcPr>
            <w:tcBorders>
              <w:top w:color="000000" w:space="0" w:sz="5" w:val="single"/>
              <w:left w:color="000000"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9">
            <w:pPr>
              <w:widowControl w:val="0"/>
              <w:jc w:val="right"/>
              <w:rPr>
                <w:sz w:val="20"/>
                <w:szCs w:val="20"/>
              </w:rPr>
            </w:pPr>
            <w:r w:rsidDel="00000000" w:rsidR="00000000" w:rsidRPr="00000000">
              <w:rPr>
                <w:rFonts w:ascii="Calibri" w:cs="Calibri" w:eastAsia="Calibri" w:hAnsi="Calibri"/>
                <w:rtl w:val="0"/>
              </w:rPr>
              <w:t xml:space="preserve">£12.12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A">
            <w:pPr>
              <w:widowControl w:val="0"/>
              <w:jc w:val="right"/>
              <w:rPr>
                <w:sz w:val="20"/>
                <w:szCs w:val="20"/>
              </w:rPr>
            </w:pPr>
            <w:r w:rsidDel="00000000" w:rsidR="00000000" w:rsidRPr="00000000">
              <w:rPr>
                <w:sz w:val="20"/>
                <w:szCs w:val="20"/>
                <w:rtl w:val="0"/>
              </w:rPr>
              <w:t xml:space="preserve">97.1%</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Not Disclosed</w:t>
            </w:r>
          </w:p>
        </w:tc>
        <w:tc>
          <w:tcPr>
            <w:tcBorders>
              <w:top w:color="000000" w:space="0" w:sz="5" w:val="single"/>
              <w:left w:color="000000"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C">
            <w:pPr>
              <w:widowControl w:val="0"/>
              <w:jc w:val="right"/>
              <w:rPr>
                <w:sz w:val="20"/>
                <w:szCs w:val="20"/>
              </w:rPr>
            </w:pPr>
            <w:r w:rsidDel="00000000" w:rsidR="00000000" w:rsidRPr="00000000">
              <w:rPr>
                <w:rFonts w:ascii="Calibri" w:cs="Calibri" w:eastAsia="Calibri" w:hAnsi="Calibri"/>
                <w:rtl w:val="0"/>
              </w:rPr>
              <w:t xml:space="preserve">£11.77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D">
            <w:pPr>
              <w:widowControl w:val="0"/>
              <w:jc w:val="right"/>
              <w:rPr>
                <w:sz w:val="20"/>
                <w:szCs w:val="20"/>
              </w:rPr>
            </w:pPr>
            <w:r w:rsidDel="00000000" w:rsidR="00000000" w:rsidRPr="00000000">
              <w:rPr>
                <w:sz w:val="20"/>
                <w:szCs w:val="20"/>
                <w:rtl w:val="0"/>
              </w:rPr>
              <w:t xml:space="preserve">94.3%</w:t>
            </w:r>
          </w:p>
        </w:tc>
      </w:tr>
    </w:tbl>
    <w:p w:rsidR="00000000" w:rsidDel="00000000" w:rsidP="00000000" w:rsidRDefault="00000000" w:rsidRPr="00000000" w14:paraId="0000002E">
      <w:pPr>
        <w:spacing w:line="276" w:lineRule="auto"/>
        <w:jc w:val="both"/>
        <w:rPr>
          <w:sz w:val="24"/>
          <w:szCs w:val="24"/>
        </w:rPr>
      </w:pPr>
      <w:r w:rsidDel="00000000" w:rsidR="00000000" w:rsidRPr="00000000">
        <w:rPr>
          <w:rtl w:val="0"/>
        </w:rPr>
      </w:r>
    </w:p>
    <w:p w:rsidR="00000000" w:rsidDel="00000000" w:rsidP="00000000" w:rsidRDefault="00000000" w:rsidRPr="00000000" w14:paraId="0000002F">
      <w:pPr>
        <w:spacing w:line="276" w:lineRule="auto"/>
        <w:jc w:val="both"/>
        <w:rPr>
          <w:sz w:val="24"/>
          <w:szCs w:val="24"/>
        </w:rPr>
      </w:pPr>
      <w:r w:rsidDel="00000000" w:rsidR="00000000" w:rsidRPr="00000000">
        <w:rPr>
          <w:sz w:val="24"/>
          <w:szCs w:val="24"/>
          <w:rtl w:val="0"/>
        </w:rPr>
        <w:t xml:space="preserve">As with our Gender Pay reporting, it is helpful to identify the distribution of each group across four quartiles, from the lowest rates of pay through to the highest.</w:t>
      </w:r>
    </w:p>
    <w:p w:rsidR="00000000" w:rsidDel="00000000" w:rsidP="00000000" w:rsidRDefault="00000000" w:rsidRPr="00000000" w14:paraId="00000030">
      <w:pPr>
        <w:spacing w:line="276" w:lineRule="auto"/>
        <w:jc w:val="both"/>
        <w:rPr>
          <w:sz w:val="24"/>
          <w:szCs w:val="24"/>
        </w:rPr>
      </w:pPr>
      <w:r w:rsidDel="00000000" w:rsidR="00000000" w:rsidRPr="00000000">
        <w:rPr>
          <w:rtl w:val="0"/>
        </w:rPr>
      </w:r>
    </w:p>
    <w:p w:rsidR="00000000" w:rsidDel="00000000" w:rsidP="00000000" w:rsidRDefault="00000000" w:rsidRPr="00000000" w14:paraId="00000031">
      <w:pPr>
        <w:spacing w:line="276" w:lineRule="auto"/>
        <w:jc w:val="both"/>
        <w:rPr>
          <w:sz w:val="24"/>
          <w:szCs w:val="24"/>
        </w:rPr>
      </w:pPr>
      <w:r w:rsidDel="00000000" w:rsidR="00000000" w:rsidRPr="00000000">
        <w:rPr>
          <w:sz w:val="24"/>
          <w:szCs w:val="24"/>
          <w:rtl w:val="0"/>
        </w:rPr>
        <w:t xml:space="preserve">The distribution of pay rates for Brunelcare are as follows:</w:t>
      </w:r>
    </w:p>
    <w:p w:rsidR="00000000" w:rsidDel="00000000" w:rsidP="00000000" w:rsidRDefault="00000000" w:rsidRPr="00000000" w14:paraId="00000032">
      <w:pPr>
        <w:spacing w:line="276" w:lineRule="auto"/>
        <w:jc w:val="both"/>
        <w:rPr>
          <w:sz w:val="24"/>
          <w:szCs w:val="24"/>
        </w:rPr>
      </w:pPr>
      <w:r w:rsidDel="00000000" w:rsidR="00000000" w:rsidRPr="00000000">
        <w:rPr>
          <w:rtl w:val="0"/>
        </w:rPr>
      </w:r>
    </w:p>
    <w:p w:rsidR="00000000" w:rsidDel="00000000" w:rsidP="00000000" w:rsidRDefault="00000000" w:rsidRPr="00000000" w14:paraId="00000033">
      <w:pPr>
        <w:spacing w:line="276" w:lineRule="auto"/>
        <w:jc w:val="both"/>
        <w:rPr>
          <w:sz w:val="24"/>
          <w:szCs w:val="24"/>
        </w:rPr>
      </w:pPr>
      <w:r w:rsidDel="00000000" w:rsidR="00000000" w:rsidRPr="00000000">
        <w:rPr>
          <w:sz w:val="24"/>
          <w:szCs w:val="24"/>
        </w:rPr>
        <w:drawing>
          <wp:inline distB="114300" distT="114300" distL="114300" distR="114300">
            <wp:extent cx="6477150" cy="4013200"/>
            <wp:effectExtent b="0" l="0" r="0" t="0"/>
            <wp:docPr descr="Chart" id="2" name="image2.png"/>
            <a:graphic>
              <a:graphicData uri="http://schemas.openxmlformats.org/drawingml/2006/picture">
                <pic:pic>
                  <pic:nvPicPr>
                    <pic:cNvPr descr="Chart" id="0" name="image2.png"/>
                    <pic:cNvPicPr preferRelativeResize="0"/>
                  </pic:nvPicPr>
                  <pic:blipFill>
                    <a:blip r:embed="rId7"/>
                    <a:srcRect b="0" l="0" r="0" t="0"/>
                    <a:stretch>
                      <a:fillRect/>
                    </a:stretch>
                  </pic:blipFill>
                  <pic:spPr>
                    <a:xfrm>
                      <a:off x="0" y="0"/>
                      <a:ext cx="647715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76" w:lineRule="auto"/>
        <w:jc w:val="both"/>
        <w:rPr>
          <w:sz w:val="24"/>
          <w:szCs w:val="24"/>
        </w:rPr>
      </w:pPr>
      <w:r w:rsidDel="00000000" w:rsidR="00000000" w:rsidRPr="00000000">
        <w:rPr>
          <w:sz w:val="24"/>
          <w:szCs w:val="24"/>
          <w:rtl w:val="0"/>
        </w:rPr>
        <w:t xml:space="preserve">The data for the above chart is shown here:</w:t>
      </w:r>
    </w:p>
    <w:p w:rsidR="00000000" w:rsidDel="00000000" w:rsidP="00000000" w:rsidRDefault="00000000" w:rsidRPr="00000000" w14:paraId="00000035">
      <w:pPr>
        <w:spacing w:line="276" w:lineRule="auto"/>
        <w:jc w:val="both"/>
        <w:rPr>
          <w:sz w:val="24"/>
          <w:szCs w:val="24"/>
        </w:rPr>
      </w:pPr>
      <w:r w:rsidDel="00000000" w:rsidR="00000000" w:rsidRPr="00000000">
        <w:rPr>
          <w:rtl w:val="0"/>
        </w:rPr>
      </w:r>
    </w:p>
    <w:p w:rsidR="00000000" w:rsidDel="00000000" w:rsidP="00000000" w:rsidRDefault="00000000" w:rsidRPr="00000000" w14:paraId="00000036">
      <w:pPr>
        <w:spacing w:line="276" w:lineRule="auto"/>
        <w:jc w:val="both"/>
        <w:rPr>
          <w:sz w:val="24"/>
          <w:szCs w:val="24"/>
        </w:rPr>
      </w:pPr>
      <w:r w:rsidDel="00000000" w:rsidR="00000000" w:rsidRPr="00000000">
        <w:rPr>
          <w:rtl w:val="0"/>
        </w:rPr>
      </w:r>
    </w:p>
    <w:tbl>
      <w:tblPr>
        <w:tblStyle w:val="Table2"/>
        <w:tblW w:w="73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040"/>
        <w:gridCol w:w="1500"/>
        <w:gridCol w:w="1500"/>
        <w:tblGridChange w:id="0">
          <w:tblGrid>
            <w:gridCol w:w="2340"/>
            <w:gridCol w:w="2040"/>
            <w:gridCol w:w="1500"/>
            <w:gridCol w:w="1500"/>
          </w:tblGrid>
        </w:tblGridChange>
      </w:tblGrid>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jc w:val="center"/>
              <w:rPr>
                <w:sz w:val="20"/>
                <w:szCs w:val="20"/>
              </w:rPr>
            </w:pPr>
            <w:r w:rsidDel="00000000" w:rsidR="00000000" w:rsidRPr="00000000">
              <w:rPr>
                <w:b w:val="1"/>
                <w:sz w:val="20"/>
                <w:szCs w:val="20"/>
                <w:rtl w:val="0"/>
              </w:rPr>
              <w:t xml:space="preserve">Minority Ethnic</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jc w:val="center"/>
              <w:rPr>
                <w:sz w:val="20"/>
                <w:szCs w:val="20"/>
              </w:rPr>
            </w:pPr>
            <w:r w:rsidDel="00000000" w:rsidR="00000000" w:rsidRPr="00000000">
              <w:rPr>
                <w:b w:val="1"/>
                <w:sz w:val="20"/>
                <w:szCs w:val="20"/>
                <w:rtl w:val="0"/>
              </w:rPr>
              <w:t xml:space="preserve">Not disclosed</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jc w:val="center"/>
              <w:rPr>
                <w:sz w:val="20"/>
                <w:szCs w:val="20"/>
              </w:rPr>
            </w:pPr>
            <w:r w:rsidDel="00000000" w:rsidR="00000000" w:rsidRPr="00000000">
              <w:rPr>
                <w:b w:val="1"/>
                <w:sz w:val="20"/>
                <w:szCs w:val="20"/>
                <w:rtl w:val="0"/>
              </w:rPr>
              <w:t xml:space="preserve">White</w:t>
            </w:r>
            <w:r w:rsidDel="00000000" w:rsidR="00000000" w:rsidRPr="00000000">
              <w:rPr>
                <w:rtl w:val="0"/>
              </w:rPr>
            </w:r>
          </w:p>
        </w:tc>
      </w:tr>
      <w:tr>
        <w:trPr>
          <w:cantSplit w:val="0"/>
          <w:trHeight w:val="360"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rFonts w:ascii="Calibri" w:cs="Calibri" w:eastAsia="Calibri" w:hAnsi="Calibri"/>
                <w:b w:val="1"/>
                <w:rtl w:val="0"/>
              </w:rPr>
              <w:t xml:space="preserve">Lower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jc w:val="right"/>
              <w:rPr>
                <w:sz w:val="20"/>
                <w:szCs w:val="20"/>
              </w:rPr>
            </w:pPr>
            <w:r w:rsidDel="00000000" w:rsidR="00000000" w:rsidRPr="00000000">
              <w:rPr>
                <w:sz w:val="20"/>
                <w:szCs w:val="20"/>
                <w:rtl w:val="0"/>
              </w:rPr>
              <w:t xml:space="preserve">33.20%</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jc w:val="right"/>
              <w:rPr>
                <w:sz w:val="20"/>
                <w:szCs w:val="20"/>
              </w:rPr>
            </w:pPr>
            <w:r w:rsidDel="00000000" w:rsidR="00000000" w:rsidRPr="00000000">
              <w:rPr>
                <w:sz w:val="20"/>
                <w:szCs w:val="20"/>
                <w:rtl w:val="0"/>
              </w:rPr>
              <w:t xml:space="preserve">3.69%</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jc w:val="right"/>
              <w:rPr>
                <w:sz w:val="20"/>
                <w:szCs w:val="20"/>
              </w:rPr>
            </w:pPr>
            <w:r w:rsidDel="00000000" w:rsidR="00000000" w:rsidRPr="00000000">
              <w:rPr>
                <w:sz w:val="20"/>
                <w:szCs w:val="20"/>
                <w:rtl w:val="0"/>
              </w:rPr>
              <w:t xml:space="preserve">63.11%</w:t>
            </w:r>
          </w:p>
        </w:tc>
      </w:tr>
      <w:tr>
        <w:trPr>
          <w:cantSplit w:val="0"/>
          <w:trHeight w:val="360"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rFonts w:ascii="Calibri" w:cs="Calibri" w:eastAsia="Calibri" w:hAnsi="Calibri"/>
                <w:b w:val="1"/>
                <w:rtl w:val="0"/>
              </w:rPr>
              <w:t xml:space="preserve">Lower Middle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jc w:val="right"/>
              <w:rPr>
                <w:sz w:val="20"/>
                <w:szCs w:val="20"/>
              </w:rPr>
            </w:pPr>
            <w:r w:rsidDel="00000000" w:rsidR="00000000" w:rsidRPr="00000000">
              <w:rPr>
                <w:sz w:val="20"/>
                <w:szCs w:val="20"/>
                <w:rtl w:val="0"/>
              </w:rPr>
              <w:t xml:space="preserve">24.08%</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right"/>
              <w:rPr>
                <w:sz w:val="20"/>
                <w:szCs w:val="20"/>
              </w:rPr>
            </w:pPr>
            <w:r w:rsidDel="00000000" w:rsidR="00000000" w:rsidRPr="00000000">
              <w:rPr>
                <w:sz w:val="20"/>
                <w:szCs w:val="20"/>
                <w:rtl w:val="0"/>
              </w:rPr>
              <w:t xml:space="preserve">3.67%</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jc w:val="right"/>
              <w:rPr>
                <w:sz w:val="20"/>
                <w:szCs w:val="20"/>
              </w:rPr>
            </w:pPr>
            <w:r w:rsidDel="00000000" w:rsidR="00000000" w:rsidRPr="00000000">
              <w:rPr>
                <w:sz w:val="20"/>
                <w:szCs w:val="20"/>
                <w:rtl w:val="0"/>
              </w:rPr>
              <w:t xml:space="preserve">72.24%</w:t>
            </w:r>
          </w:p>
        </w:tc>
      </w:tr>
      <w:tr>
        <w:trPr>
          <w:cantSplit w:val="0"/>
          <w:trHeight w:val="360"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rFonts w:ascii="Calibri" w:cs="Calibri" w:eastAsia="Calibri" w:hAnsi="Calibri"/>
                <w:b w:val="1"/>
                <w:rtl w:val="0"/>
              </w:rPr>
              <w:t xml:space="preserve">Upper Middle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jc w:val="right"/>
              <w:rPr>
                <w:sz w:val="20"/>
                <w:szCs w:val="20"/>
              </w:rPr>
            </w:pPr>
            <w:r w:rsidDel="00000000" w:rsidR="00000000" w:rsidRPr="00000000">
              <w:rPr>
                <w:sz w:val="20"/>
                <w:szCs w:val="20"/>
                <w:rtl w:val="0"/>
              </w:rPr>
              <w:t xml:space="preserve">13.93%</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jc w:val="right"/>
              <w:rPr>
                <w:sz w:val="20"/>
                <w:szCs w:val="20"/>
              </w:rPr>
            </w:pPr>
            <w:r w:rsidDel="00000000" w:rsidR="00000000" w:rsidRPr="00000000">
              <w:rPr>
                <w:sz w:val="20"/>
                <w:szCs w:val="20"/>
                <w:rtl w:val="0"/>
              </w:rPr>
              <w:t xml:space="preserve">1.64%</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jc w:val="right"/>
              <w:rPr>
                <w:sz w:val="20"/>
                <w:szCs w:val="20"/>
              </w:rPr>
            </w:pPr>
            <w:r w:rsidDel="00000000" w:rsidR="00000000" w:rsidRPr="00000000">
              <w:rPr>
                <w:sz w:val="20"/>
                <w:szCs w:val="20"/>
                <w:rtl w:val="0"/>
              </w:rPr>
              <w:t xml:space="preserve">84.43%</w:t>
            </w:r>
          </w:p>
        </w:tc>
      </w:tr>
      <w:tr>
        <w:trPr>
          <w:cantSplit w:val="0"/>
          <w:trHeight w:val="360"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rFonts w:ascii="Calibri" w:cs="Calibri" w:eastAsia="Calibri" w:hAnsi="Calibri"/>
                <w:b w:val="1"/>
                <w:rtl w:val="0"/>
              </w:rPr>
              <w:t xml:space="preserve">Upper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jc w:val="right"/>
              <w:rPr>
                <w:sz w:val="20"/>
                <w:szCs w:val="20"/>
              </w:rPr>
            </w:pPr>
            <w:r w:rsidDel="00000000" w:rsidR="00000000" w:rsidRPr="00000000">
              <w:rPr>
                <w:sz w:val="20"/>
                <w:szCs w:val="20"/>
                <w:rtl w:val="0"/>
              </w:rPr>
              <w:t xml:space="preserve">24.49%</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right"/>
              <w:rPr>
                <w:sz w:val="20"/>
                <w:szCs w:val="20"/>
              </w:rPr>
            </w:pPr>
            <w:r w:rsidDel="00000000" w:rsidR="00000000" w:rsidRPr="00000000">
              <w:rPr>
                <w:sz w:val="20"/>
                <w:szCs w:val="20"/>
                <w:rtl w:val="0"/>
              </w:rPr>
              <w:t xml:space="preserve">2.04%</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right"/>
              <w:rPr>
                <w:sz w:val="20"/>
                <w:szCs w:val="20"/>
              </w:rPr>
            </w:pPr>
            <w:r w:rsidDel="00000000" w:rsidR="00000000" w:rsidRPr="00000000">
              <w:rPr>
                <w:sz w:val="20"/>
                <w:szCs w:val="20"/>
                <w:rtl w:val="0"/>
              </w:rPr>
              <w:t xml:space="preserve">73.47%</w:t>
            </w:r>
          </w:p>
        </w:tc>
      </w:tr>
    </w:tbl>
    <w:p w:rsidR="00000000" w:rsidDel="00000000" w:rsidP="00000000" w:rsidRDefault="00000000" w:rsidRPr="00000000" w14:paraId="0000004B">
      <w:pPr>
        <w:spacing w:line="276" w:lineRule="auto"/>
        <w:jc w:val="both"/>
        <w:rPr>
          <w:sz w:val="24"/>
          <w:szCs w:val="24"/>
        </w:rPr>
      </w:pPr>
      <w:r w:rsidDel="00000000" w:rsidR="00000000" w:rsidRPr="00000000">
        <w:rPr>
          <w:rtl w:val="0"/>
        </w:rPr>
      </w:r>
    </w:p>
    <w:p w:rsidR="00000000" w:rsidDel="00000000" w:rsidP="00000000" w:rsidRDefault="00000000" w:rsidRPr="00000000" w14:paraId="0000004C">
      <w:pPr>
        <w:spacing w:line="276" w:lineRule="auto"/>
        <w:jc w:val="both"/>
        <w:rPr>
          <w:sz w:val="24"/>
          <w:szCs w:val="24"/>
        </w:rPr>
      </w:pPr>
      <w:r w:rsidDel="00000000" w:rsidR="00000000" w:rsidRPr="00000000">
        <w:rPr>
          <w:rtl w:val="0"/>
        </w:rPr>
      </w:r>
    </w:p>
    <w:p w:rsidR="00000000" w:rsidDel="00000000" w:rsidP="00000000" w:rsidRDefault="00000000" w:rsidRPr="00000000" w14:paraId="0000004D">
      <w:pPr>
        <w:spacing w:line="276" w:lineRule="auto"/>
        <w:jc w:val="both"/>
        <w:rPr>
          <w:sz w:val="24"/>
          <w:szCs w:val="24"/>
        </w:rPr>
      </w:pPr>
      <w:r w:rsidDel="00000000" w:rsidR="00000000" w:rsidRPr="00000000">
        <w:rPr>
          <w:rtl w:val="0"/>
        </w:rPr>
      </w:r>
    </w:p>
    <w:p w:rsidR="00000000" w:rsidDel="00000000" w:rsidP="00000000" w:rsidRDefault="00000000" w:rsidRPr="00000000" w14:paraId="0000004E">
      <w:pPr>
        <w:spacing w:line="276" w:lineRule="auto"/>
        <w:jc w:val="both"/>
        <w:rPr>
          <w:sz w:val="24"/>
          <w:szCs w:val="24"/>
        </w:rPr>
      </w:pPr>
      <w:r w:rsidDel="00000000" w:rsidR="00000000" w:rsidRPr="00000000">
        <w:rPr>
          <w:rtl w:val="0"/>
        </w:rPr>
      </w:r>
    </w:p>
    <w:p w:rsidR="00000000" w:rsidDel="00000000" w:rsidP="00000000" w:rsidRDefault="00000000" w:rsidRPr="00000000" w14:paraId="0000004F">
      <w:pPr>
        <w:spacing w:line="276" w:lineRule="auto"/>
        <w:jc w:val="both"/>
        <w:rPr>
          <w:sz w:val="24"/>
          <w:szCs w:val="24"/>
        </w:rPr>
      </w:pPr>
      <w:r w:rsidDel="00000000" w:rsidR="00000000" w:rsidRPr="00000000">
        <w:rPr>
          <w:rtl w:val="0"/>
        </w:rPr>
      </w:r>
    </w:p>
    <w:p w:rsidR="00000000" w:rsidDel="00000000" w:rsidP="00000000" w:rsidRDefault="00000000" w:rsidRPr="00000000" w14:paraId="00000050">
      <w:pPr>
        <w:spacing w:line="276" w:lineRule="auto"/>
        <w:jc w:val="both"/>
        <w:rPr>
          <w:sz w:val="24"/>
          <w:szCs w:val="24"/>
        </w:rPr>
      </w:pPr>
      <w:r w:rsidDel="00000000" w:rsidR="00000000" w:rsidRPr="00000000">
        <w:rPr>
          <w:rtl w:val="0"/>
        </w:rPr>
      </w:r>
    </w:p>
    <w:p w:rsidR="00000000" w:rsidDel="00000000" w:rsidP="00000000" w:rsidRDefault="00000000" w:rsidRPr="00000000" w14:paraId="00000051">
      <w:pPr>
        <w:spacing w:line="276" w:lineRule="auto"/>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52">
      <w:pPr>
        <w:spacing w:line="276" w:lineRule="auto"/>
        <w:jc w:val="both"/>
        <w:rPr>
          <w:sz w:val="24"/>
          <w:szCs w:val="24"/>
        </w:rPr>
      </w:pPr>
      <w:r w:rsidDel="00000000" w:rsidR="00000000" w:rsidRPr="00000000">
        <w:rPr>
          <w:rtl w:val="0"/>
        </w:rPr>
      </w:r>
    </w:p>
    <w:p w:rsidR="00000000" w:rsidDel="00000000" w:rsidP="00000000" w:rsidRDefault="00000000" w:rsidRPr="00000000" w14:paraId="00000053">
      <w:pPr>
        <w:spacing w:line="276" w:lineRule="auto"/>
        <w:jc w:val="both"/>
        <w:rPr>
          <w:sz w:val="24"/>
          <w:szCs w:val="24"/>
        </w:rPr>
      </w:pPr>
      <w:r w:rsidDel="00000000" w:rsidR="00000000" w:rsidRPr="00000000">
        <w:rPr>
          <w:sz w:val="24"/>
          <w:szCs w:val="24"/>
          <w:rtl w:val="0"/>
        </w:rPr>
        <w:t xml:space="preserve">There is no indication of an obvious concern in regard to the Brunelcare ethnicity pay gap. The average rate of pay for those who identify as an ethnic minority is 97.1%, which is 2.9% lower than the same calculation for those declaring themselves as white.</w:t>
      </w:r>
    </w:p>
    <w:p w:rsidR="00000000" w:rsidDel="00000000" w:rsidP="00000000" w:rsidRDefault="00000000" w:rsidRPr="00000000" w14:paraId="00000054">
      <w:pPr>
        <w:spacing w:line="276" w:lineRule="auto"/>
        <w:jc w:val="both"/>
        <w:rPr>
          <w:sz w:val="24"/>
          <w:szCs w:val="24"/>
        </w:rPr>
      </w:pPr>
      <w:r w:rsidDel="00000000" w:rsidR="00000000" w:rsidRPr="00000000">
        <w:rPr>
          <w:rtl w:val="0"/>
        </w:rPr>
      </w:r>
    </w:p>
    <w:p w:rsidR="00000000" w:rsidDel="00000000" w:rsidP="00000000" w:rsidRDefault="00000000" w:rsidRPr="00000000" w14:paraId="00000055">
      <w:pPr>
        <w:spacing w:line="276" w:lineRule="auto"/>
        <w:jc w:val="both"/>
        <w:rPr>
          <w:sz w:val="24"/>
          <w:szCs w:val="24"/>
        </w:rPr>
      </w:pPr>
      <w:r w:rsidDel="00000000" w:rsidR="00000000" w:rsidRPr="00000000">
        <w:rPr>
          <w:sz w:val="24"/>
          <w:szCs w:val="24"/>
          <w:rtl w:val="0"/>
        </w:rPr>
        <w:t xml:space="preserve">It is clear that reducing the number of ‘Not Disclosed’ results (now down to 27 from 693 in 2022) has greatly enhanced the validity of these figures and that will continue to be the focus over the next twelve months.</w:t>
      </w:r>
    </w:p>
    <w:p w:rsidR="00000000" w:rsidDel="00000000" w:rsidP="00000000" w:rsidRDefault="00000000" w:rsidRPr="00000000" w14:paraId="00000056">
      <w:pPr>
        <w:spacing w:line="276" w:lineRule="auto"/>
        <w:jc w:val="both"/>
        <w:rPr>
          <w:sz w:val="24"/>
          <w:szCs w:val="24"/>
        </w:rPr>
      </w:pPr>
      <w:r w:rsidDel="00000000" w:rsidR="00000000" w:rsidRPr="00000000">
        <w:rPr>
          <w:rtl w:val="0"/>
        </w:rPr>
      </w:r>
    </w:p>
    <w:p w:rsidR="00000000" w:rsidDel="00000000" w:rsidP="00000000" w:rsidRDefault="00000000" w:rsidRPr="00000000" w14:paraId="00000057">
      <w:pPr>
        <w:spacing w:line="276" w:lineRule="auto"/>
        <w:jc w:val="both"/>
        <w:rPr>
          <w:sz w:val="24"/>
          <w:szCs w:val="24"/>
        </w:rPr>
      </w:pPr>
      <w:r w:rsidDel="00000000" w:rsidR="00000000" w:rsidRPr="00000000">
        <w:rPr>
          <w:sz w:val="24"/>
          <w:szCs w:val="24"/>
          <w:rtl w:val="0"/>
        </w:rPr>
        <w:t xml:space="preserve">The ethnicity gap overall has widened over the last year by 4.6% to </w:t>
      </w:r>
      <w:r w:rsidDel="00000000" w:rsidR="00000000" w:rsidRPr="00000000">
        <w:rPr>
          <w:sz w:val="24"/>
          <w:szCs w:val="24"/>
          <w:rtl w:val="0"/>
        </w:rPr>
        <w:t xml:space="preserve">2.9% (ethnic minority pay rates were 1.7% higher in 2022),</w:t>
      </w:r>
      <w:r w:rsidDel="00000000" w:rsidR="00000000" w:rsidRPr="00000000">
        <w:rPr>
          <w:sz w:val="24"/>
          <w:szCs w:val="24"/>
          <w:rtl w:val="0"/>
        </w:rPr>
        <w:t xml:space="preserve"> this will have been influenced by our much improved data collection, continued focus on recruiting overseas nurses and carers and also our activities to attract applications from all communities across Bristol and the South West.</w:t>
      </w:r>
    </w:p>
    <w:p w:rsidR="00000000" w:rsidDel="00000000" w:rsidP="00000000" w:rsidRDefault="00000000" w:rsidRPr="00000000" w14:paraId="00000058">
      <w:pPr>
        <w:spacing w:line="276" w:lineRule="auto"/>
        <w:jc w:val="both"/>
        <w:rPr>
          <w:sz w:val="24"/>
          <w:szCs w:val="24"/>
        </w:rPr>
      </w:pPr>
      <w:r w:rsidDel="00000000" w:rsidR="00000000" w:rsidRPr="00000000">
        <w:rPr>
          <w:rtl w:val="0"/>
        </w:rPr>
      </w:r>
    </w:p>
    <w:p w:rsidR="00000000" w:rsidDel="00000000" w:rsidP="00000000" w:rsidRDefault="00000000" w:rsidRPr="00000000" w14:paraId="00000059">
      <w:pPr>
        <w:spacing w:line="276" w:lineRule="auto"/>
        <w:jc w:val="both"/>
        <w:rPr>
          <w:sz w:val="24"/>
          <w:szCs w:val="24"/>
        </w:rPr>
      </w:pPr>
      <w:r w:rsidDel="00000000" w:rsidR="00000000" w:rsidRPr="00000000">
        <w:rPr>
          <w:rtl w:val="0"/>
        </w:rPr>
      </w:r>
    </w:p>
    <w:p w:rsidR="00000000" w:rsidDel="00000000" w:rsidP="00000000" w:rsidRDefault="00000000" w:rsidRPr="00000000" w14:paraId="0000005A">
      <w:pPr>
        <w:spacing w:line="276" w:lineRule="auto"/>
        <w:jc w:val="both"/>
        <w:rPr>
          <w:sz w:val="24"/>
          <w:szCs w:val="24"/>
        </w:rPr>
      </w:pPr>
      <w:r w:rsidDel="00000000" w:rsidR="00000000" w:rsidRPr="00000000">
        <w:rPr>
          <w:rtl w:val="0"/>
        </w:rPr>
      </w:r>
    </w:p>
    <w:p w:rsidR="00000000" w:rsidDel="00000000" w:rsidP="00000000" w:rsidRDefault="00000000" w:rsidRPr="00000000" w14:paraId="0000005B">
      <w:pPr>
        <w:spacing w:line="276" w:lineRule="auto"/>
        <w:jc w:val="both"/>
        <w:rPr>
          <w:sz w:val="24"/>
          <w:szCs w:val="24"/>
        </w:rPr>
      </w:pPr>
      <w:r w:rsidDel="00000000" w:rsidR="00000000" w:rsidRPr="00000000">
        <w:rPr>
          <w:rtl w:val="0"/>
        </w:rPr>
      </w:r>
    </w:p>
    <w:p w:rsidR="00000000" w:rsidDel="00000000" w:rsidP="00000000" w:rsidRDefault="00000000" w:rsidRPr="00000000" w14:paraId="0000005C">
      <w:pPr>
        <w:jc w:val="left"/>
        <w:rPr>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2103.8976377952763" w:top="1559.0551181102362" w:left="850.3937007874016" w:right="854.8818897637813" w:header="113.38582677165356"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240" w:lineRule="auto"/>
      <w:jc w:val="both"/>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widowControl w:val="0"/>
      <w:spacing w:line="240" w:lineRule="auto"/>
      <w:jc w:val="left"/>
      <w:rPr/>
    </w:pPr>
    <w:r w:rsidDel="00000000" w:rsidR="00000000" w:rsidRPr="00000000">
      <w:rPr/>
      <w:drawing>
        <wp:anchor allowOverlap="1" behindDoc="0" distB="0" distT="0" distL="0" distR="0" hidden="0" layoutInCell="1" locked="0" relativeHeight="0" simplePos="0">
          <wp:simplePos x="0" y="0"/>
          <wp:positionH relativeFrom="page">
            <wp:posOffset>3578500</wp:posOffset>
          </wp:positionH>
          <wp:positionV relativeFrom="page">
            <wp:posOffset>47625</wp:posOffset>
          </wp:positionV>
          <wp:extent cx="3981500" cy="947738"/>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981500" cy="9477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