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sz w:val="28"/>
          <w:szCs w:val="28"/>
        </w:rPr>
      </w:pPr>
      <w:r w:rsidDel="00000000" w:rsidR="00000000" w:rsidRPr="00000000">
        <w:rPr>
          <w:b w:val="1"/>
          <w:sz w:val="28"/>
          <w:szCs w:val="28"/>
          <w:rtl w:val="0"/>
        </w:rPr>
        <w:t xml:space="preserve">GENDER PAY GAP 2022/23</w:t>
      </w:r>
    </w:p>
    <w:p w:rsidR="00000000" w:rsidDel="00000000" w:rsidP="00000000" w:rsidRDefault="00000000" w:rsidRPr="00000000" w14:paraId="00000002">
      <w:pPr>
        <w:spacing w:after="200" w:line="276" w:lineRule="auto"/>
        <w:rPr>
          <w:sz w:val="24"/>
          <w:szCs w:val="24"/>
        </w:rPr>
      </w:pPr>
      <w:r w:rsidDel="00000000" w:rsidR="00000000" w:rsidRPr="00000000">
        <w:rPr>
          <w:rtl w:val="0"/>
        </w:rPr>
      </w:r>
    </w:p>
    <w:p w:rsidR="00000000" w:rsidDel="00000000" w:rsidP="00000000" w:rsidRDefault="00000000" w:rsidRPr="00000000" w14:paraId="00000003">
      <w:pPr>
        <w:spacing w:after="200" w:line="276" w:lineRule="auto"/>
        <w:rPr>
          <w:b w:val="1"/>
          <w:sz w:val="24"/>
          <w:szCs w:val="24"/>
        </w:rPr>
      </w:pPr>
      <w:r w:rsidDel="00000000" w:rsidR="00000000" w:rsidRPr="00000000">
        <w:rPr>
          <w:b w:val="1"/>
          <w:sz w:val="24"/>
          <w:szCs w:val="24"/>
          <w:rtl w:val="0"/>
        </w:rPr>
        <w:t xml:space="preserve">About Brunelcare </w:t>
      </w:r>
    </w:p>
    <w:p w:rsidR="00000000" w:rsidDel="00000000" w:rsidP="00000000" w:rsidRDefault="00000000" w:rsidRPr="00000000" w14:paraId="00000004">
      <w:pPr>
        <w:spacing w:after="200" w:line="276" w:lineRule="auto"/>
        <w:jc w:val="both"/>
        <w:rPr>
          <w:sz w:val="24"/>
          <w:szCs w:val="24"/>
        </w:rPr>
      </w:pPr>
      <w:r w:rsidDel="00000000" w:rsidR="00000000" w:rsidRPr="00000000">
        <w:rPr>
          <w:sz w:val="24"/>
          <w:szCs w:val="24"/>
          <w:rtl w:val="0"/>
        </w:rPr>
        <w:t xml:space="preserve">Established in 1941, Brunelcare is a Bristol based charity providing high quality housing, care and support for later living in the South West. </w:t>
      </w:r>
    </w:p>
    <w:p w:rsidR="00000000" w:rsidDel="00000000" w:rsidP="00000000" w:rsidRDefault="00000000" w:rsidRPr="00000000" w14:paraId="00000005">
      <w:pPr>
        <w:spacing w:after="200" w:line="276" w:lineRule="auto"/>
        <w:jc w:val="both"/>
        <w:rPr>
          <w:sz w:val="24"/>
          <w:szCs w:val="24"/>
        </w:rPr>
      </w:pPr>
      <w:r w:rsidDel="00000000" w:rsidR="00000000" w:rsidRPr="00000000">
        <w:rPr>
          <w:sz w:val="24"/>
          <w:szCs w:val="24"/>
          <w:rtl w:val="0"/>
        </w:rPr>
        <w:t xml:space="preserve">Today, across Bristol, South Gloucestershire and Somerset, Brunelcare works to support over 2,000 people to remain as independent as possible, for as long as possible.</w:t>
      </w:r>
    </w:p>
    <w:p w:rsidR="00000000" w:rsidDel="00000000" w:rsidP="00000000" w:rsidRDefault="00000000" w:rsidRPr="00000000" w14:paraId="00000006">
      <w:pPr>
        <w:spacing w:after="200" w:line="276" w:lineRule="auto"/>
        <w:jc w:val="both"/>
        <w:rPr>
          <w:sz w:val="24"/>
          <w:szCs w:val="24"/>
        </w:rPr>
      </w:pPr>
      <w:r w:rsidDel="00000000" w:rsidR="00000000" w:rsidRPr="00000000">
        <w:rPr>
          <w:sz w:val="24"/>
          <w:szCs w:val="24"/>
          <w:rtl w:val="0"/>
        </w:rPr>
        <w:t xml:space="preserve">Care is provided in people’s own homes, in specialist care homes and our three reablement facilities.</w:t>
      </w:r>
    </w:p>
    <w:p w:rsidR="00000000" w:rsidDel="00000000" w:rsidP="00000000" w:rsidRDefault="00000000" w:rsidRPr="00000000" w14:paraId="00000007">
      <w:pPr>
        <w:spacing w:after="200" w:line="276" w:lineRule="auto"/>
        <w:jc w:val="both"/>
        <w:rPr>
          <w:sz w:val="24"/>
          <w:szCs w:val="24"/>
        </w:rPr>
      </w:pPr>
      <w:r w:rsidDel="00000000" w:rsidR="00000000" w:rsidRPr="00000000">
        <w:rPr>
          <w:sz w:val="24"/>
          <w:szCs w:val="24"/>
          <w:rtl w:val="0"/>
        </w:rPr>
        <w:t xml:space="preserve">Housing is provided by 1,150 properties, across 33 sites, three extra care housing sites and a retirement village.</w:t>
      </w:r>
    </w:p>
    <w:p w:rsidR="00000000" w:rsidDel="00000000" w:rsidP="00000000" w:rsidRDefault="00000000" w:rsidRPr="00000000" w14:paraId="00000008">
      <w:pPr>
        <w:spacing w:after="200" w:line="276" w:lineRule="auto"/>
        <w:jc w:val="both"/>
        <w:rPr>
          <w:sz w:val="24"/>
          <w:szCs w:val="24"/>
        </w:rPr>
      </w:pPr>
      <w:r w:rsidDel="00000000" w:rsidR="00000000" w:rsidRPr="00000000">
        <w:rPr>
          <w:sz w:val="24"/>
          <w:szCs w:val="24"/>
          <w:rtl w:val="0"/>
        </w:rPr>
        <w:t xml:space="preserve">To deliver all of its vital services Brunelcare employs a dedicated team of around 1,000 people.</w:t>
      </w:r>
    </w:p>
    <w:p w:rsidR="00000000" w:rsidDel="00000000" w:rsidP="00000000" w:rsidRDefault="00000000" w:rsidRPr="00000000" w14:paraId="00000009">
      <w:pPr>
        <w:spacing w:after="200" w:line="276" w:lineRule="auto"/>
        <w:jc w:val="both"/>
        <w:rPr>
          <w:sz w:val="24"/>
          <w:szCs w:val="24"/>
        </w:rPr>
      </w:pPr>
      <w:r w:rsidDel="00000000" w:rsidR="00000000" w:rsidRPr="00000000">
        <w:rPr>
          <w:sz w:val="24"/>
          <w:szCs w:val="24"/>
          <w:rtl w:val="0"/>
        </w:rPr>
        <w:t xml:space="preserve">The extensive range of our services means that people can stay with us however their needs may change.</w:t>
      </w:r>
    </w:p>
    <w:p w:rsidR="00000000" w:rsidDel="00000000" w:rsidP="00000000" w:rsidRDefault="00000000" w:rsidRPr="00000000" w14:paraId="0000000A">
      <w:pPr>
        <w:spacing w:after="200" w:line="276" w:lineRule="auto"/>
        <w:jc w:val="both"/>
        <w:rPr>
          <w:sz w:val="24"/>
          <w:szCs w:val="24"/>
        </w:rPr>
      </w:pPr>
      <w:r w:rsidDel="00000000" w:rsidR="00000000" w:rsidRPr="00000000">
        <w:rPr>
          <w:sz w:val="24"/>
          <w:szCs w:val="24"/>
          <w:rtl w:val="0"/>
        </w:rPr>
        <w:t xml:space="preserve">We are also widely recognised for our expertise and excellence in caring for people living with dementia and for supporting their families.</w:t>
      </w:r>
    </w:p>
    <w:p w:rsidR="00000000" w:rsidDel="00000000" w:rsidP="00000000" w:rsidRDefault="00000000" w:rsidRPr="00000000" w14:paraId="0000000B">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0C">
      <w:pPr>
        <w:spacing w:line="276" w:lineRule="auto"/>
        <w:jc w:val="both"/>
        <w:rPr>
          <w:b w:val="1"/>
          <w:sz w:val="24"/>
          <w:szCs w:val="24"/>
        </w:rPr>
      </w:pPr>
      <w:r w:rsidDel="00000000" w:rsidR="00000000" w:rsidRPr="00000000">
        <w:rPr>
          <w:b w:val="1"/>
          <w:sz w:val="24"/>
          <w:szCs w:val="24"/>
          <w:rtl w:val="0"/>
        </w:rPr>
        <w:t xml:space="preserve">What is a gender pay gap?</w:t>
      </w:r>
    </w:p>
    <w:p w:rsidR="00000000" w:rsidDel="00000000" w:rsidP="00000000" w:rsidRDefault="00000000" w:rsidRPr="00000000" w14:paraId="0000000D">
      <w:pPr>
        <w:spacing w:line="276" w:lineRule="auto"/>
        <w:jc w:val="both"/>
        <w:rPr>
          <w:sz w:val="24"/>
          <w:szCs w:val="24"/>
        </w:rPr>
      </w:pPr>
      <w:r w:rsidDel="00000000" w:rsidR="00000000" w:rsidRPr="00000000">
        <w:rPr>
          <w:rtl w:val="0"/>
        </w:rPr>
      </w:r>
    </w:p>
    <w:p w:rsidR="00000000" w:rsidDel="00000000" w:rsidP="00000000" w:rsidRDefault="00000000" w:rsidRPr="00000000" w14:paraId="0000000E">
      <w:pPr>
        <w:spacing w:line="276" w:lineRule="auto"/>
        <w:jc w:val="both"/>
        <w:rPr>
          <w:sz w:val="24"/>
          <w:szCs w:val="24"/>
        </w:rPr>
      </w:pPr>
      <w:r w:rsidDel="00000000" w:rsidR="00000000" w:rsidRPr="00000000">
        <w:rPr>
          <w:sz w:val="24"/>
          <w:szCs w:val="24"/>
          <w:rtl w:val="0"/>
        </w:rPr>
        <w:t xml:space="preserve">Since April 2017 all companies with 250 or more employees have been required to publish their gender pay gap. A gender pay gap is the difference between the gross hourly earnings for both men and women regardless of the roles that they have. It is very different to equal pay, which is about making sure men and women are paid the same in roles of equal value. </w:t>
      </w:r>
    </w:p>
    <w:p w:rsidR="00000000" w:rsidDel="00000000" w:rsidP="00000000" w:rsidRDefault="00000000" w:rsidRPr="00000000" w14:paraId="0000000F">
      <w:pPr>
        <w:spacing w:line="276" w:lineRule="auto"/>
        <w:jc w:val="both"/>
        <w:rPr>
          <w:sz w:val="24"/>
          <w:szCs w:val="24"/>
        </w:rPr>
      </w:pPr>
      <w:r w:rsidDel="00000000" w:rsidR="00000000" w:rsidRPr="00000000">
        <w:rPr>
          <w:rtl w:val="0"/>
        </w:rPr>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rtl w:val="0"/>
        </w:rPr>
        <w:t xml:space="preserve">This report shows the average pay gap in Brunelcare between men and women, expressed as both a mean and a median average.</w:t>
      </w:r>
    </w:p>
    <w:p w:rsidR="00000000" w:rsidDel="00000000" w:rsidP="00000000" w:rsidRDefault="00000000" w:rsidRPr="00000000" w14:paraId="00000011">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12">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13">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14">
      <w:pPr>
        <w:spacing w:after="200" w:line="276" w:lineRule="auto"/>
        <w:jc w:val="both"/>
        <w:rPr>
          <w:sz w:val="24"/>
          <w:szCs w:val="24"/>
        </w:rPr>
      </w:pPr>
      <w:r w:rsidDel="00000000" w:rsidR="00000000" w:rsidRPr="00000000">
        <w:rPr>
          <w:rtl w:val="0"/>
        </w:rPr>
      </w:r>
    </w:p>
    <w:p w:rsidR="00000000" w:rsidDel="00000000" w:rsidP="00000000" w:rsidRDefault="00000000" w:rsidRPr="00000000" w14:paraId="00000015">
      <w:pPr>
        <w:spacing w:after="200" w:line="276" w:lineRule="auto"/>
        <w:jc w:val="both"/>
        <w:rPr>
          <w:b w:val="1"/>
          <w:color w:val="0f243e"/>
          <w:sz w:val="24"/>
          <w:szCs w:val="24"/>
        </w:rPr>
      </w:pPr>
      <w:r w:rsidDel="00000000" w:rsidR="00000000" w:rsidRPr="00000000">
        <w:rPr>
          <w:b w:val="1"/>
          <w:color w:val="0f243e"/>
          <w:sz w:val="24"/>
          <w:szCs w:val="24"/>
          <w:rtl w:val="0"/>
        </w:rPr>
        <w:t xml:space="preserve">The numbers</w:t>
      </w:r>
    </w:p>
    <w:p w:rsidR="00000000" w:rsidDel="00000000" w:rsidP="00000000" w:rsidRDefault="00000000" w:rsidRPr="00000000" w14:paraId="00000016">
      <w:pPr>
        <w:spacing w:line="276" w:lineRule="auto"/>
        <w:jc w:val="both"/>
        <w:rPr>
          <w:sz w:val="24"/>
          <w:szCs w:val="24"/>
        </w:rPr>
      </w:pPr>
      <w:r w:rsidDel="00000000" w:rsidR="00000000" w:rsidRPr="00000000">
        <w:rPr>
          <w:sz w:val="24"/>
          <w:szCs w:val="24"/>
          <w:rtl w:val="0"/>
        </w:rPr>
        <w:t xml:space="preserve">The total number of employees that form the basis of this report is 978.</w:t>
      </w:r>
    </w:p>
    <w:p w:rsidR="00000000" w:rsidDel="00000000" w:rsidP="00000000" w:rsidRDefault="00000000" w:rsidRPr="00000000" w14:paraId="00000017">
      <w:pPr>
        <w:spacing w:line="276" w:lineRule="auto"/>
        <w:jc w:val="both"/>
        <w:rPr>
          <w:sz w:val="24"/>
          <w:szCs w:val="24"/>
        </w:rPr>
      </w:pPr>
      <w:r w:rsidDel="00000000" w:rsidR="00000000" w:rsidRPr="00000000">
        <w:rPr>
          <w:rtl w:val="0"/>
        </w:rPr>
      </w:r>
    </w:p>
    <w:p w:rsidR="00000000" w:rsidDel="00000000" w:rsidP="00000000" w:rsidRDefault="00000000" w:rsidRPr="00000000" w14:paraId="00000018">
      <w:pPr>
        <w:spacing w:line="276" w:lineRule="auto"/>
        <w:jc w:val="both"/>
        <w:rPr>
          <w:sz w:val="24"/>
          <w:szCs w:val="24"/>
        </w:rPr>
      </w:pPr>
      <w:r w:rsidDel="00000000" w:rsidR="00000000" w:rsidRPr="00000000">
        <w:rPr>
          <w:sz w:val="24"/>
          <w:szCs w:val="24"/>
          <w:rtl w:val="0"/>
        </w:rPr>
        <w:t xml:space="preserve">Of the employees involved, 82.5% are female and 17.5% are male, this is effectively unchanged since the previous published results.</w:t>
      </w:r>
    </w:p>
    <w:p w:rsidR="00000000" w:rsidDel="00000000" w:rsidP="00000000" w:rsidRDefault="00000000" w:rsidRPr="00000000" w14:paraId="00000019">
      <w:pPr>
        <w:spacing w:line="276" w:lineRule="auto"/>
        <w:jc w:val="both"/>
        <w:rPr>
          <w:sz w:val="24"/>
          <w:szCs w:val="24"/>
        </w:rPr>
      </w:pPr>
      <w:r w:rsidDel="00000000" w:rsidR="00000000" w:rsidRPr="00000000">
        <w:rPr>
          <w:rtl w:val="0"/>
        </w:rPr>
      </w:r>
    </w:p>
    <w:p w:rsidR="00000000" w:rsidDel="00000000" w:rsidP="00000000" w:rsidRDefault="00000000" w:rsidRPr="00000000" w14:paraId="0000001A">
      <w:pPr>
        <w:spacing w:line="276" w:lineRule="auto"/>
        <w:jc w:val="both"/>
        <w:rPr>
          <w:sz w:val="24"/>
          <w:szCs w:val="24"/>
        </w:rPr>
      </w:pPr>
      <w:r w:rsidDel="00000000" w:rsidR="00000000" w:rsidRPr="00000000">
        <w:rPr>
          <w:sz w:val="24"/>
          <w:szCs w:val="24"/>
          <w:rtl w:val="0"/>
        </w:rPr>
        <w:t xml:space="preserve">All roles within Brunelcare are graded, this means that each position has a defined salary range based on the job content. This is consistently applied without reference to gender.</w:t>
      </w:r>
    </w:p>
    <w:p w:rsidR="00000000" w:rsidDel="00000000" w:rsidP="00000000" w:rsidRDefault="00000000" w:rsidRPr="00000000" w14:paraId="0000001B">
      <w:pPr>
        <w:spacing w:line="276" w:lineRule="auto"/>
        <w:jc w:val="both"/>
        <w:rPr>
          <w:sz w:val="24"/>
          <w:szCs w:val="24"/>
        </w:rPr>
      </w:pPr>
      <w:r w:rsidDel="00000000" w:rsidR="00000000" w:rsidRPr="00000000">
        <w:rPr>
          <w:rtl w:val="0"/>
        </w:rPr>
      </w:r>
    </w:p>
    <w:p w:rsidR="00000000" w:rsidDel="00000000" w:rsidP="00000000" w:rsidRDefault="00000000" w:rsidRPr="00000000" w14:paraId="0000001C">
      <w:pPr>
        <w:spacing w:line="276" w:lineRule="auto"/>
        <w:jc w:val="both"/>
        <w:rPr>
          <w:sz w:val="24"/>
          <w:szCs w:val="24"/>
        </w:rPr>
      </w:pPr>
      <w:r w:rsidDel="00000000" w:rsidR="00000000" w:rsidRPr="00000000">
        <w:rPr>
          <w:sz w:val="24"/>
          <w:szCs w:val="24"/>
          <w:rtl w:val="0"/>
        </w:rPr>
        <w:t xml:space="preserve">Our average mean pay gap is 14.99%; this is lower than the previous year by 2.49% and indicates that the number of males holding higher paid roles overall has decreased slightly.</w:t>
      </w:r>
    </w:p>
    <w:p w:rsidR="00000000" w:rsidDel="00000000" w:rsidP="00000000" w:rsidRDefault="00000000" w:rsidRPr="00000000" w14:paraId="0000001D">
      <w:pPr>
        <w:spacing w:line="276" w:lineRule="auto"/>
        <w:jc w:val="both"/>
        <w:rPr>
          <w:sz w:val="24"/>
          <w:szCs w:val="24"/>
        </w:rPr>
      </w:pPr>
      <w:r w:rsidDel="00000000" w:rsidR="00000000" w:rsidRPr="00000000">
        <w:rPr>
          <w:rtl w:val="0"/>
        </w:rPr>
      </w:r>
    </w:p>
    <w:p w:rsidR="00000000" w:rsidDel="00000000" w:rsidP="00000000" w:rsidRDefault="00000000" w:rsidRPr="00000000" w14:paraId="0000001E">
      <w:pPr>
        <w:spacing w:line="276" w:lineRule="auto"/>
        <w:jc w:val="both"/>
        <w:rPr>
          <w:sz w:val="24"/>
          <w:szCs w:val="24"/>
        </w:rPr>
      </w:pPr>
      <w:r w:rsidDel="00000000" w:rsidR="00000000" w:rsidRPr="00000000">
        <w:rPr>
          <w:sz w:val="24"/>
          <w:szCs w:val="24"/>
          <w:rtl w:val="0"/>
        </w:rPr>
        <w:t xml:space="preserve">Our average median pay gap is 4.17% which is 3.65% lower than the previous year and it remains below the national figure of 14.3% in 2023.</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(source)</w:t>
        </w:r>
      </w:hyperlink>
      <w:r w:rsidDel="00000000" w:rsidR="00000000" w:rsidRPr="00000000">
        <w:rPr>
          <w:sz w:val="24"/>
          <w:szCs w:val="24"/>
          <w:rtl w:val="0"/>
        </w:rPr>
        <w:t xml:space="preserve">.</w:t>
      </w:r>
    </w:p>
    <w:p w:rsidR="00000000" w:rsidDel="00000000" w:rsidP="00000000" w:rsidRDefault="00000000" w:rsidRPr="00000000" w14:paraId="0000001F">
      <w:pPr>
        <w:spacing w:line="276" w:lineRule="auto"/>
        <w:jc w:val="both"/>
        <w:rPr>
          <w:sz w:val="24"/>
          <w:szCs w:val="24"/>
        </w:rPr>
      </w:pPr>
      <w:r w:rsidDel="00000000" w:rsidR="00000000" w:rsidRPr="00000000">
        <w:rPr>
          <w:rtl w:val="0"/>
        </w:rPr>
      </w:r>
    </w:p>
    <w:p w:rsidR="00000000" w:rsidDel="00000000" w:rsidP="00000000" w:rsidRDefault="00000000" w:rsidRPr="00000000" w14:paraId="00000020">
      <w:pPr>
        <w:spacing w:line="276" w:lineRule="auto"/>
        <w:jc w:val="both"/>
        <w:rPr>
          <w:sz w:val="24"/>
          <w:szCs w:val="24"/>
        </w:rPr>
      </w:pPr>
      <w:r w:rsidDel="00000000" w:rsidR="00000000" w:rsidRPr="00000000">
        <w:rPr>
          <w:sz w:val="24"/>
          <w:szCs w:val="24"/>
          <w:rtl w:val="0"/>
        </w:rPr>
        <w:t xml:space="preserve">The figures are shown within the graph below:</w:t>
      </w:r>
    </w:p>
    <w:p w:rsidR="00000000" w:rsidDel="00000000" w:rsidP="00000000" w:rsidRDefault="00000000" w:rsidRPr="00000000" w14:paraId="00000021">
      <w:pPr>
        <w:spacing w:line="276" w:lineRule="auto"/>
        <w:jc w:val="both"/>
        <w:rPr>
          <w:sz w:val="24"/>
          <w:szCs w:val="24"/>
        </w:rPr>
      </w:pPr>
      <w:r w:rsidDel="00000000" w:rsidR="00000000" w:rsidRPr="00000000">
        <w:rPr>
          <w:rtl w:val="0"/>
        </w:rPr>
      </w:r>
    </w:p>
    <w:p w:rsidR="00000000" w:rsidDel="00000000" w:rsidP="00000000" w:rsidRDefault="00000000" w:rsidRPr="00000000" w14:paraId="00000022">
      <w:pPr>
        <w:spacing w:line="276" w:lineRule="auto"/>
        <w:jc w:val="both"/>
        <w:rPr>
          <w:sz w:val="24"/>
          <w:szCs w:val="24"/>
        </w:rPr>
      </w:pPr>
      <w:r w:rsidDel="00000000" w:rsidR="00000000" w:rsidRPr="00000000">
        <w:rPr>
          <w:sz w:val="24"/>
          <w:szCs w:val="24"/>
        </w:rPr>
        <w:drawing>
          <wp:inline distB="114300" distT="114300" distL="114300" distR="114300">
            <wp:extent cx="6477150" cy="4000500"/>
            <wp:effectExtent b="0" l="0" r="0" t="0"/>
            <wp:docPr descr="Chart" id="1" name="image1.png"/>
            <a:graphic>
              <a:graphicData uri="http://schemas.openxmlformats.org/drawingml/2006/picture">
                <pic:pic>
                  <pic:nvPicPr>
                    <pic:cNvPr descr="Chart" id="0" name="image1.png"/>
                    <pic:cNvPicPr preferRelativeResize="0"/>
                  </pic:nvPicPr>
                  <pic:blipFill>
                    <a:blip r:embed="rId7"/>
                    <a:srcRect b="0" l="0" r="0" t="0"/>
                    <a:stretch>
                      <a:fillRect/>
                    </a:stretch>
                  </pic:blipFill>
                  <pic:spPr>
                    <a:xfrm>
                      <a:off x="0" y="0"/>
                      <a:ext cx="647715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276" w:lineRule="auto"/>
        <w:jc w:val="both"/>
        <w:rPr>
          <w:sz w:val="24"/>
          <w:szCs w:val="24"/>
        </w:rPr>
      </w:pPr>
      <w:r w:rsidDel="00000000" w:rsidR="00000000" w:rsidRPr="00000000">
        <w:rPr>
          <w:rtl w:val="0"/>
        </w:rPr>
      </w:r>
    </w:p>
    <w:p w:rsidR="00000000" w:rsidDel="00000000" w:rsidP="00000000" w:rsidRDefault="00000000" w:rsidRPr="00000000" w14:paraId="00000024">
      <w:pPr>
        <w:spacing w:line="276" w:lineRule="auto"/>
        <w:jc w:val="both"/>
        <w:rPr>
          <w:sz w:val="24"/>
          <w:szCs w:val="24"/>
        </w:rPr>
      </w:pPr>
      <w:r w:rsidDel="00000000" w:rsidR="00000000" w:rsidRPr="00000000">
        <w:rPr>
          <w:rtl w:val="0"/>
        </w:rPr>
      </w:r>
    </w:p>
    <w:p w:rsidR="00000000" w:rsidDel="00000000" w:rsidP="00000000" w:rsidRDefault="00000000" w:rsidRPr="00000000" w14:paraId="00000025">
      <w:pPr>
        <w:spacing w:line="276" w:lineRule="auto"/>
        <w:jc w:val="both"/>
        <w:rPr>
          <w:sz w:val="24"/>
          <w:szCs w:val="24"/>
        </w:rPr>
      </w:pPr>
      <w:r w:rsidDel="00000000" w:rsidR="00000000" w:rsidRPr="00000000">
        <w:rPr>
          <w:rtl w:val="0"/>
        </w:rPr>
      </w:r>
    </w:p>
    <w:p w:rsidR="00000000" w:rsidDel="00000000" w:rsidP="00000000" w:rsidRDefault="00000000" w:rsidRPr="00000000" w14:paraId="00000026">
      <w:pPr>
        <w:spacing w:line="276" w:lineRule="auto"/>
        <w:jc w:val="both"/>
        <w:rPr>
          <w:sz w:val="24"/>
          <w:szCs w:val="24"/>
        </w:rPr>
      </w:pPr>
      <w:r w:rsidDel="00000000" w:rsidR="00000000" w:rsidRPr="00000000">
        <w:rPr>
          <w:rtl w:val="0"/>
        </w:rPr>
      </w:r>
    </w:p>
    <w:p w:rsidR="00000000" w:rsidDel="00000000" w:rsidP="00000000" w:rsidRDefault="00000000" w:rsidRPr="00000000" w14:paraId="00000027">
      <w:pPr>
        <w:spacing w:line="276" w:lineRule="auto"/>
        <w:jc w:val="both"/>
        <w:rPr>
          <w:sz w:val="24"/>
          <w:szCs w:val="24"/>
        </w:rPr>
      </w:pPr>
      <w:r w:rsidDel="00000000" w:rsidR="00000000" w:rsidRPr="00000000">
        <w:rPr>
          <w:rtl w:val="0"/>
        </w:rPr>
      </w:r>
    </w:p>
    <w:p w:rsidR="00000000" w:rsidDel="00000000" w:rsidP="00000000" w:rsidRDefault="00000000" w:rsidRPr="00000000" w14:paraId="00000028">
      <w:pPr>
        <w:spacing w:line="276" w:lineRule="auto"/>
        <w:jc w:val="both"/>
        <w:rPr>
          <w:sz w:val="24"/>
          <w:szCs w:val="24"/>
        </w:rPr>
      </w:pPr>
      <w:r w:rsidDel="00000000" w:rsidR="00000000" w:rsidRPr="00000000">
        <w:rPr>
          <w:sz w:val="24"/>
          <w:szCs w:val="24"/>
          <w:rtl w:val="0"/>
        </w:rPr>
        <w:t xml:space="preserve">The following comparison shows the allocation by gender across four pay ranges, it can be noted that the percentage of males within the two lower bands has increased slightly, this explains the pay gap decrease:</w:t>
      </w:r>
    </w:p>
    <w:p w:rsidR="00000000" w:rsidDel="00000000" w:rsidP="00000000" w:rsidRDefault="00000000" w:rsidRPr="00000000" w14:paraId="00000029">
      <w:pPr>
        <w:spacing w:line="276" w:lineRule="auto"/>
        <w:jc w:val="both"/>
        <w:rPr>
          <w:sz w:val="24"/>
          <w:szCs w:val="24"/>
        </w:rPr>
      </w:pPr>
      <w:r w:rsidDel="00000000" w:rsidR="00000000" w:rsidRPr="00000000">
        <w:rPr>
          <w:rtl w:val="0"/>
        </w:rPr>
      </w:r>
    </w:p>
    <w:p w:rsidR="00000000" w:rsidDel="00000000" w:rsidP="00000000" w:rsidRDefault="00000000" w:rsidRPr="00000000" w14:paraId="0000002A">
      <w:pPr>
        <w:spacing w:line="276" w:lineRule="auto"/>
        <w:jc w:val="both"/>
        <w:rPr>
          <w:sz w:val="24"/>
          <w:szCs w:val="24"/>
        </w:rPr>
      </w:pPr>
      <w:r w:rsidDel="00000000" w:rsidR="00000000" w:rsidRPr="00000000">
        <w:rPr>
          <w:rtl w:val="0"/>
        </w:rPr>
      </w:r>
    </w:p>
    <w:tbl>
      <w:tblPr>
        <w:tblStyle w:val="Table1"/>
        <w:tblW w:w="75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330" w:hRule="atLeast"/>
          <w:tblHeader w:val="0"/>
        </w:trPr>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rtl w:val="0"/>
              </w:rPr>
            </w:r>
          </w:p>
        </w:tc>
        <w:tc>
          <w:tcPr>
            <w:gridSpan w:val="4"/>
            <w:tcBorders>
              <w:top w:color="000000"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C">
            <w:pPr>
              <w:widowControl w:val="0"/>
              <w:jc w:val="center"/>
              <w:rPr>
                <w:sz w:val="20"/>
                <w:szCs w:val="20"/>
              </w:rPr>
            </w:pPr>
            <w:r w:rsidDel="00000000" w:rsidR="00000000" w:rsidRPr="00000000">
              <w:rPr>
                <w:rFonts w:ascii="Calibri" w:cs="Calibri" w:eastAsia="Calibri" w:hAnsi="Calibri"/>
                <w:b w:val="1"/>
                <w:sz w:val="24"/>
                <w:szCs w:val="24"/>
                <w:rtl w:val="0"/>
              </w:rPr>
              <w:t xml:space="preserve">2022/23</w:t>
            </w:r>
            <w:r w:rsidDel="00000000" w:rsidR="00000000" w:rsidRPr="00000000">
              <w:rPr>
                <w:rtl w:val="0"/>
              </w:rPr>
            </w:r>
          </w:p>
        </w:tc>
      </w:tr>
      <w:tr>
        <w:trPr>
          <w:cantSplit w:val="0"/>
          <w:trHeight w:val="600" w:hRule="atLeast"/>
          <w:tblHeader w:val="0"/>
        </w:trPr>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rFonts w:ascii="Calibri" w:cs="Calibri" w:eastAsia="Calibri" w:hAnsi="Calibri"/>
                <w:sz w:val="24"/>
                <w:szCs w:val="24"/>
                <w:rtl w:val="0"/>
              </w:rPr>
              <w:t xml:space="preserve">Lower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rFonts w:ascii="Calibri" w:cs="Calibri" w:eastAsia="Calibri" w:hAnsi="Calibri"/>
                <w:sz w:val="24"/>
                <w:szCs w:val="24"/>
                <w:rtl w:val="0"/>
              </w:rPr>
              <w:t xml:space="preserve">Lower Middle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rFonts w:ascii="Calibri" w:cs="Calibri" w:eastAsia="Calibri" w:hAnsi="Calibri"/>
                <w:sz w:val="24"/>
                <w:szCs w:val="24"/>
                <w:rtl w:val="0"/>
              </w:rPr>
              <w:t xml:space="preserve">Upper Middle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rFonts w:ascii="Calibri" w:cs="Calibri" w:eastAsia="Calibri" w:hAnsi="Calibri"/>
                <w:sz w:val="24"/>
                <w:szCs w:val="24"/>
                <w:rtl w:val="0"/>
              </w:rPr>
              <w:t xml:space="preserve">Upper Quartile</w:t>
            </w:r>
            <w:r w:rsidDel="00000000" w:rsidR="00000000" w:rsidRPr="00000000">
              <w:rPr>
                <w:rtl w:val="0"/>
              </w:rPr>
            </w:r>
          </w:p>
        </w:tc>
      </w:tr>
      <w:tr>
        <w:trPr>
          <w:cantSplit w:val="0"/>
          <w:trHeight w:val="330" w:hRule="atLeast"/>
          <w:tblHeader w:val="0"/>
        </w:trPr>
        <w:tc>
          <w:tcPr>
            <w:tcBorders>
              <w:top w:color="cccccc" w:space="0" w:sz="5" w:val="single"/>
              <w:left w:color="000000"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rFonts w:ascii="Calibri" w:cs="Calibri" w:eastAsia="Calibri" w:hAnsi="Calibri"/>
                <w:sz w:val="24"/>
                <w:szCs w:val="24"/>
                <w:rtl w:val="0"/>
              </w:rPr>
              <w:t xml:space="preserve">Male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6">
            <w:pPr>
              <w:widowControl w:val="0"/>
              <w:jc w:val="right"/>
              <w:rPr>
                <w:sz w:val="20"/>
                <w:szCs w:val="20"/>
              </w:rPr>
            </w:pPr>
            <w:r w:rsidDel="00000000" w:rsidR="00000000" w:rsidRPr="00000000">
              <w:rPr>
                <w:rFonts w:ascii="Calibri" w:cs="Calibri" w:eastAsia="Calibri" w:hAnsi="Calibri"/>
                <w:sz w:val="24"/>
                <w:szCs w:val="24"/>
                <w:rtl w:val="0"/>
              </w:rPr>
              <w:t xml:space="preserve">14.8%</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widowControl w:val="0"/>
              <w:jc w:val="right"/>
              <w:rPr>
                <w:sz w:val="20"/>
                <w:szCs w:val="20"/>
              </w:rPr>
            </w:pPr>
            <w:r w:rsidDel="00000000" w:rsidR="00000000" w:rsidRPr="00000000">
              <w:rPr>
                <w:rFonts w:ascii="Calibri" w:cs="Calibri" w:eastAsia="Calibri" w:hAnsi="Calibri"/>
                <w:sz w:val="24"/>
                <w:szCs w:val="24"/>
                <w:rtl w:val="0"/>
              </w:rPr>
              <w:t xml:space="preserve">14.3%</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8">
            <w:pPr>
              <w:widowControl w:val="0"/>
              <w:jc w:val="right"/>
              <w:rPr>
                <w:sz w:val="20"/>
                <w:szCs w:val="20"/>
              </w:rPr>
            </w:pPr>
            <w:r w:rsidDel="00000000" w:rsidR="00000000" w:rsidRPr="00000000">
              <w:rPr>
                <w:rFonts w:ascii="Calibri" w:cs="Calibri" w:eastAsia="Calibri" w:hAnsi="Calibri"/>
                <w:sz w:val="24"/>
                <w:szCs w:val="24"/>
                <w:rtl w:val="0"/>
              </w:rPr>
              <w:t xml:space="preserve">13.9%</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widowControl w:val="0"/>
              <w:jc w:val="right"/>
              <w:rPr>
                <w:sz w:val="20"/>
                <w:szCs w:val="20"/>
              </w:rPr>
            </w:pPr>
            <w:r w:rsidDel="00000000" w:rsidR="00000000" w:rsidRPr="00000000">
              <w:rPr>
                <w:rFonts w:ascii="Calibri" w:cs="Calibri" w:eastAsia="Calibri" w:hAnsi="Calibri"/>
                <w:sz w:val="24"/>
                <w:szCs w:val="24"/>
                <w:rtl w:val="0"/>
              </w:rPr>
              <w:t xml:space="preserve">26.9%</w:t>
            </w:r>
            <w:r w:rsidDel="00000000" w:rsidR="00000000" w:rsidRPr="00000000">
              <w:rPr>
                <w:rtl w:val="0"/>
              </w:rPr>
            </w:r>
          </w:p>
        </w:tc>
      </w:tr>
      <w:tr>
        <w:trPr>
          <w:cantSplit w:val="0"/>
          <w:trHeight w:val="330" w:hRule="atLeast"/>
          <w:tblHeader w:val="0"/>
        </w:trPr>
        <w:tc>
          <w:tcPr>
            <w:tcBorders>
              <w:top w:color="cccccc" w:space="0" w:sz="5" w:val="single"/>
              <w:left w:color="000000"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rFonts w:ascii="Calibri" w:cs="Calibri" w:eastAsia="Calibri" w:hAnsi="Calibri"/>
                <w:sz w:val="24"/>
                <w:szCs w:val="24"/>
                <w:rtl w:val="0"/>
              </w:rPr>
              <w:t xml:space="preserve">Female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B">
            <w:pPr>
              <w:widowControl w:val="0"/>
              <w:jc w:val="right"/>
              <w:rPr>
                <w:sz w:val="20"/>
                <w:szCs w:val="20"/>
              </w:rPr>
            </w:pPr>
            <w:r w:rsidDel="00000000" w:rsidR="00000000" w:rsidRPr="00000000">
              <w:rPr>
                <w:rFonts w:ascii="Calibri" w:cs="Calibri" w:eastAsia="Calibri" w:hAnsi="Calibri"/>
                <w:sz w:val="24"/>
                <w:szCs w:val="24"/>
                <w:rtl w:val="0"/>
              </w:rPr>
              <w:t xml:space="preserve">85.2%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jc w:val="right"/>
              <w:rPr>
                <w:sz w:val="20"/>
                <w:szCs w:val="20"/>
              </w:rPr>
            </w:pPr>
            <w:r w:rsidDel="00000000" w:rsidR="00000000" w:rsidRPr="00000000">
              <w:rPr>
                <w:rFonts w:ascii="Calibri" w:cs="Calibri" w:eastAsia="Calibri" w:hAnsi="Calibri"/>
                <w:sz w:val="24"/>
                <w:szCs w:val="24"/>
                <w:rtl w:val="0"/>
              </w:rPr>
              <w:t xml:space="preserve">85.7%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jc w:val="right"/>
              <w:rPr>
                <w:sz w:val="20"/>
                <w:szCs w:val="20"/>
              </w:rPr>
            </w:pPr>
            <w:r w:rsidDel="00000000" w:rsidR="00000000" w:rsidRPr="00000000">
              <w:rPr>
                <w:rFonts w:ascii="Calibri" w:cs="Calibri" w:eastAsia="Calibri" w:hAnsi="Calibri"/>
                <w:sz w:val="24"/>
                <w:szCs w:val="24"/>
                <w:rtl w:val="0"/>
              </w:rPr>
              <w:t xml:space="preserve">86.1%</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jc w:val="right"/>
              <w:rPr>
                <w:sz w:val="20"/>
                <w:szCs w:val="20"/>
              </w:rPr>
            </w:pPr>
            <w:r w:rsidDel="00000000" w:rsidR="00000000" w:rsidRPr="00000000">
              <w:rPr>
                <w:rFonts w:ascii="Calibri" w:cs="Calibri" w:eastAsia="Calibri" w:hAnsi="Calibri"/>
                <w:sz w:val="24"/>
                <w:szCs w:val="24"/>
                <w:rtl w:val="0"/>
              </w:rPr>
              <w:t xml:space="preserve">73.1%</w:t>
            </w: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rtl w:val="0"/>
              </w:rPr>
            </w:r>
          </w:p>
        </w:tc>
      </w:tr>
      <w:tr>
        <w:trPr>
          <w:cantSplit w:val="0"/>
          <w:trHeight w:val="330" w:hRule="atLeast"/>
          <w:tblHeader w:val="0"/>
        </w:trPr>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rtl w:val="0"/>
              </w:rPr>
            </w:r>
          </w:p>
        </w:tc>
        <w:tc>
          <w:tcPr>
            <w:gridSpan w:val="4"/>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widowControl w:val="0"/>
              <w:jc w:val="center"/>
              <w:rPr>
                <w:sz w:val="20"/>
                <w:szCs w:val="20"/>
              </w:rPr>
            </w:pPr>
            <w:r w:rsidDel="00000000" w:rsidR="00000000" w:rsidRPr="00000000">
              <w:rPr>
                <w:rFonts w:ascii="Calibri" w:cs="Calibri" w:eastAsia="Calibri" w:hAnsi="Calibri"/>
                <w:b w:val="1"/>
                <w:sz w:val="24"/>
                <w:szCs w:val="24"/>
                <w:rtl w:val="0"/>
              </w:rPr>
              <w:t xml:space="preserve">2022/23 - difference from 21/22</w:t>
            </w:r>
            <w:r w:rsidDel="00000000" w:rsidR="00000000" w:rsidRPr="00000000">
              <w:rPr>
                <w:rtl w:val="0"/>
              </w:rPr>
            </w:r>
          </w:p>
        </w:tc>
      </w:tr>
      <w:tr>
        <w:trPr>
          <w:cantSplit w:val="0"/>
          <w:trHeight w:val="600" w:hRule="atLeast"/>
          <w:tblHeader w:val="0"/>
        </w:trPr>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rFonts w:ascii="Calibri" w:cs="Calibri" w:eastAsia="Calibri" w:hAnsi="Calibri"/>
                <w:sz w:val="24"/>
                <w:szCs w:val="24"/>
                <w:rtl w:val="0"/>
              </w:rPr>
              <w:t xml:space="preserve">Lower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rFonts w:ascii="Calibri" w:cs="Calibri" w:eastAsia="Calibri" w:hAnsi="Calibri"/>
                <w:sz w:val="24"/>
                <w:szCs w:val="24"/>
                <w:rtl w:val="0"/>
              </w:rPr>
              <w:t xml:space="preserve">Lower Middle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rFonts w:ascii="Calibri" w:cs="Calibri" w:eastAsia="Calibri" w:hAnsi="Calibri"/>
                <w:sz w:val="24"/>
                <w:szCs w:val="24"/>
                <w:rtl w:val="0"/>
              </w:rPr>
              <w:t xml:space="preserve">Upper Middle Quartile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rFonts w:ascii="Calibri" w:cs="Calibri" w:eastAsia="Calibri" w:hAnsi="Calibri"/>
                <w:sz w:val="24"/>
                <w:szCs w:val="24"/>
                <w:rtl w:val="0"/>
              </w:rPr>
              <w:t xml:space="preserve">Upper Quartile</w:t>
            </w:r>
            <w:r w:rsidDel="00000000" w:rsidR="00000000" w:rsidRPr="00000000">
              <w:rPr>
                <w:rtl w:val="0"/>
              </w:rPr>
            </w:r>
          </w:p>
        </w:tc>
      </w:tr>
      <w:tr>
        <w:trPr>
          <w:cantSplit w:val="0"/>
          <w:trHeight w:val="330" w:hRule="atLeast"/>
          <w:tblHeader w:val="0"/>
        </w:trPr>
        <w:tc>
          <w:tcPr>
            <w:tcBorders>
              <w:top w:color="cccccc" w:space="0" w:sz="5" w:val="single"/>
              <w:left w:color="000000"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rFonts w:ascii="Calibri" w:cs="Calibri" w:eastAsia="Calibri" w:hAnsi="Calibri"/>
                <w:sz w:val="24"/>
                <w:szCs w:val="24"/>
                <w:rtl w:val="0"/>
              </w:rPr>
              <w:t xml:space="preserve">Male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jc w:val="right"/>
              <w:rPr>
                <w:sz w:val="20"/>
                <w:szCs w:val="20"/>
              </w:rPr>
            </w:pPr>
            <w:r w:rsidDel="00000000" w:rsidR="00000000" w:rsidRPr="00000000">
              <w:rPr>
                <w:rFonts w:ascii="Calibri" w:cs="Calibri" w:eastAsia="Calibri" w:hAnsi="Calibri"/>
                <w:sz w:val="24"/>
                <w:szCs w:val="24"/>
                <w:rtl w:val="0"/>
              </w:rPr>
              <w:t xml:space="preserve">1.0%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jc w:val="right"/>
              <w:rPr>
                <w:sz w:val="20"/>
                <w:szCs w:val="20"/>
              </w:rPr>
            </w:pPr>
            <w:r w:rsidDel="00000000" w:rsidR="00000000" w:rsidRPr="00000000">
              <w:rPr>
                <w:rFonts w:ascii="Calibri" w:cs="Calibri" w:eastAsia="Calibri" w:hAnsi="Calibri"/>
                <w:sz w:val="24"/>
                <w:szCs w:val="24"/>
                <w:rtl w:val="0"/>
              </w:rPr>
              <w:t xml:space="preserve">4.8%</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jc w:val="right"/>
              <w:rPr>
                <w:sz w:val="20"/>
                <w:szCs w:val="20"/>
              </w:rPr>
            </w:pPr>
            <w:r w:rsidDel="00000000" w:rsidR="00000000" w:rsidRPr="00000000">
              <w:rPr>
                <w:rFonts w:ascii="Calibri" w:cs="Calibri" w:eastAsia="Calibri" w:hAnsi="Calibri"/>
                <w:sz w:val="24"/>
                <w:szCs w:val="24"/>
                <w:rtl w:val="0"/>
              </w:rPr>
              <w:t xml:space="preserve">-0.7%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jc w:val="right"/>
              <w:rPr>
                <w:sz w:val="20"/>
                <w:szCs w:val="20"/>
              </w:rPr>
            </w:pPr>
            <w:r w:rsidDel="00000000" w:rsidR="00000000" w:rsidRPr="00000000">
              <w:rPr>
                <w:rFonts w:ascii="Calibri" w:cs="Calibri" w:eastAsia="Calibri" w:hAnsi="Calibri"/>
                <w:sz w:val="24"/>
                <w:szCs w:val="24"/>
                <w:rtl w:val="0"/>
              </w:rPr>
              <w:t xml:space="preserve">0.5%</w:t>
            </w:r>
            <w:r w:rsidDel="00000000" w:rsidR="00000000" w:rsidRPr="00000000">
              <w:rPr>
                <w:rtl w:val="0"/>
              </w:rPr>
            </w:r>
          </w:p>
        </w:tc>
      </w:tr>
      <w:tr>
        <w:trPr>
          <w:cantSplit w:val="0"/>
          <w:trHeight w:val="330" w:hRule="atLeast"/>
          <w:tblHeader w:val="0"/>
        </w:trPr>
        <w:tc>
          <w:tcPr>
            <w:tcBorders>
              <w:top w:color="cccccc" w:space="0" w:sz="5" w:val="single"/>
              <w:left w:color="000000"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rFonts w:ascii="Calibri" w:cs="Calibri" w:eastAsia="Calibri" w:hAnsi="Calibri"/>
                <w:sz w:val="24"/>
                <w:szCs w:val="24"/>
                <w:rtl w:val="0"/>
              </w:rPr>
              <w:t xml:space="preserve">Female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jc w:val="right"/>
              <w:rPr>
                <w:sz w:val="20"/>
                <w:szCs w:val="20"/>
              </w:rPr>
            </w:pPr>
            <w:r w:rsidDel="00000000" w:rsidR="00000000" w:rsidRPr="00000000">
              <w:rPr>
                <w:rFonts w:ascii="Calibri" w:cs="Calibri" w:eastAsia="Calibri" w:hAnsi="Calibri"/>
                <w:sz w:val="24"/>
                <w:szCs w:val="24"/>
                <w:rtl w:val="0"/>
              </w:rPr>
              <w:t xml:space="preserve">-0.6%</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jc w:val="right"/>
              <w:rPr>
                <w:sz w:val="20"/>
                <w:szCs w:val="20"/>
              </w:rPr>
            </w:pPr>
            <w:r w:rsidDel="00000000" w:rsidR="00000000" w:rsidRPr="00000000">
              <w:rPr>
                <w:rFonts w:ascii="Calibri" w:cs="Calibri" w:eastAsia="Calibri" w:hAnsi="Calibri"/>
                <w:sz w:val="24"/>
                <w:szCs w:val="24"/>
                <w:rtl w:val="0"/>
              </w:rPr>
              <w:t xml:space="preserve">-4.5%</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jc w:val="right"/>
              <w:rPr>
                <w:sz w:val="20"/>
                <w:szCs w:val="20"/>
              </w:rPr>
            </w:pPr>
            <w:r w:rsidDel="00000000" w:rsidR="00000000" w:rsidRPr="00000000">
              <w:rPr>
                <w:rFonts w:ascii="Calibri" w:cs="Calibri" w:eastAsia="Calibri" w:hAnsi="Calibri"/>
                <w:sz w:val="24"/>
                <w:szCs w:val="24"/>
                <w:rtl w:val="0"/>
              </w:rPr>
              <w:t xml:space="preserve">0.7%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jc w:val="right"/>
              <w:rPr>
                <w:sz w:val="20"/>
                <w:szCs w:val="20"/>
              </w:rPr>
            </w:pPr>
            <w:r w:rsidDel="00000000" w:rsidR="00000000" w:rsidRPr="00000000">
              <w:rPr>
                <w:rFonts w:ascii="Calibri" w:cs="Calibri" w:eastAsia="Calibri" w:hAnsi="Calibri"/>
                <w:sz w:val="24"/>
                <w:szCs w:val="24"/>
                <w:rtl w:val="0"/>
              </w:rPr>
              <w:t xml:space="preserve">-0.5%</w:t>
            </w:r>
            <w:r w:rsidDel="00000000" w:rsidR="00000000" w:rsidRPr="00000000">
              <w:rPr>
                <w:rtl w:val="0"/>
              </w:rPr>
            </w:r>
          </w:p>
        </w:tc>
      </w:tr>
    </w:tbl>
    <w:p w:rsidR="00000000" w:rsidDel="00000000" w:rsidP="00000000" w:rsidRDefault="00000000" w:rsidRPr="00000000" w14:paraId="00000058">
      <w:pPr>
        <w:spacing w:line="276" w:lineRule="auto"/>
        <w:jc w:val="both"/>
        <w:rPr>
          <w:sz w:val="24"/>
          <w:szCs w:val="24"/>
        </w:rPr>
      </w:pPr>
      <w:r w:rsidDel="00000000" w:rsidR="00000000" w:rsidRPr="00000000">
        <w:rPr>
          <w:rtl w:val="0"/>
        </w:rPr>
      </w:r>
    </w:p>
    <w:p w:rsidR="00000000" w:rsidDel="00000000" w:rsidP="00000000" w:rsidRDefault="00000000" w:rsidRPr="00000000" w14:paraId="00000059">
      <w:pPr>
        <w:spacing w:line="276" w:lineRule="auto"/>
        <w:jc w:val="both"/>
        <w:rPr>
          <w:sz w:val="24"/>
          <w:szCs w:val="24"/>
        </w:rPr>
      </w:pPr>
      <w:r w:rsidDel="00000000" w:rsidR="00000000" w:rsidRPr="00000000">
        <w:rPr>
          <w:rtl w:val="0"/>
        </w:rPr>
      </w:r>
    </w:p>
    <w:p w:rsidR="00000000" w:rsidDel="00000000" w:rsidP="00000000" w:rsidRDefault="00000000" w:rsidRPr="00000000" w14:paraId="0000005A">
      <w:pPr>
        <w:spacing w:line="276" w:lineRule="auto"/>
        <w:jc w:val="both"/>
        <w:rPr>
          <w:sz w:val="24"/>
          <w:szCs w:val="24"/>
        </w:rPr>
      </w:pPr>
      <w:r w:rsidDel="00000000" w:rsidR="00000000" w:rsidRPr="00000000">
        <w:rPr>
          <w:sz w:val="24"/>
          <w:szCs w:val="24"/>
          <w:rtl w:val="0"/>
        </w:rPr>
        <w:t xml:space="preserve">We also publish our mean and median bonus gaps annually, this is not the total bonus paid but rather the average value of bonuses paid to each gender. It can be noted that the mean bonus gap has fallen to -4.05% for the year up to March 2023 meaning that bonuses awarded to female colleagues were 4% higher than those awarded to male colleagues.</w:t>
      </w:r>
    </w:p>
    <w:p w:rsidR="00000000" w:rsidDel="00000000" w:rsidP="00000000" w:rsidRDefault="00000000" w:rsidRPr="00000000" w14:paraId="0000005B">
      <w:pPr>
        <w:spacing w:line="276" w:lineRule="auto"/>
        <w:jc w:val="both"/>
        <w:rPr>
          <w:sz w:val="24"/>
          <w:szCs w:val="24"/>
        </w:rPr>
      </w:pPr>
      <w:r w:rsidDel="00000000" w:rsidR="00000000" w:rsidRPr="00000000">
        <w:rPr>
          <w:rtl w:val="0"/>
        </w:rPr>
      </w:r>
    </w:p>
    <w:p w:rsidR="00000000" w:rsidDel="00000000" w:rsidP="00000000" w:rsidRDefault="00000000" w:rsidRPr="00000000" w14:paraId="0000005C">
      <w:pPr>
        <w:spacing w:line="276" w:lineRule="auto"/>
        <w:jc w:val="both"/>
        <w:rPr>
          <w:sz w:val="24"/>
          <w:szCs w:val="24"/>
        </w:rPr>
      </w:pPr>
      <w:r w:rsidDel="00000000" w:rsidR="00000000" w:rsidRPr="00000000">
        <w:rPr>
          <w:rtl w:val="0"/>
        </w:rPr>
      </w:r>
    </w:p>
    <w:tbl>
      <w:tblPr>
        <w:tblStyle w:val="Table2"/>
        <w:tblW w:w="102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0.3333333333333"/>
        <w:gridCol w:w="1700.3333333333333"/>
        <w:gridCol w:w="1700.3333333333333"/>
        <w:gridCol w:w="1700.3333333333333"/>
        <w:gridCol w:w="1700.3333333333333"/>
        <w:gridCol w:w="1700.3333333333333"/>
        <w:tblGridChange w:id="0">
          <w:tblGrid>
            <w:gridCol w:w="1700.3333333333333"/>
            <w:gridCol w:w="1700.3333333333333"/>
            <w:gridCol w:w="1700.3333333333333"/>
            <w:gridCol w:w="1700.3333333333333"/>
            <w:gridCol w:w="1700.3333333333333"/>
            <w:gridCol w:w="1700.3333333333333"/>
          </w:tblGrid>
        </w:tblGridChange>
      </w:tblGrid>
      <w:tr>
        <w:trPr>
          <w:cantSplit w:val="0"/>
          <w:tblHeader w:val="0"/>
        </w:trPr>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5D">
            <w:pPr>
              <w:widowControl w:val="0"/>
              <w:jc w:val="center"/>
              <w:rPr>
                <w:sz w:val="20"/>
                <w:szCs w:val="20"/>
              </w:rPr>
            </w:pPr>
            <w:r w:rsidDel="00000000" w:rsidR="00000000" w:rsidRPr="00000000">
              <w:rPr>
                <w:rFonts w:ascii="Calibri" w:cs="Calibri" w:eastAsia="Calibri" w:hAnsi="Calibri"/>
                <w:b w:val="1"/>
                <w:u w:val="single"/>
                <w:rtl w:val="0"/>
              </w:rPr>
              <w:t xml:space="preserve">Mean Bonus Gender Pay Gap</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5E">
            <w:pPr>
              <w:widowControl w:val="0"/>
              <w:jc w:val="center"/>
              <w:rPr>
                <w:sz w:val="20"/>
                <w:szCs w:val="20"/>
              </w:rPr>
            </w:pPr>
            <w:r w:rsidDel="00000000" w:rsidR="00000000" w:rsidRPr="00000000">
              <w:rPr>
                <w:rFonts w:ascii="Calibri" w:cs="Calibri" w:eastAsia="Calibri" w:hAnsi="Calibri"/>
                <w:b w:val="1"/>
                <w:u w:val="single"/>
                <w:rtl w:val="0"/>
              </w:rPr>
              <w:t xml:space="preserve">2023</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5F">
            <w:pPr>
              <w:widowControl w:val="0"/>
              <w:jc w:val="center"/>
              <w:rPr>
                <w:sz w:val="20"/>
                <w:szCs w:val="20"/>
              </w:rPr>
            </w:pPr>
            <w:r w:rsidDel="00000000" w:rsidR="00000000" w:rsidRPr="00000000">
              <w:rPr>
                <w:rFonts w:ascii="Calibri" w:cs="Calibri" w:eastAsia="Calibri" w:hAnsi="Calibri"/>
                <w:b w:val="1"/>
                <w:u w:val="single"/>
                <w:rtl w:val="0"/>
              </w:rPr>
              <w:t xml:space="preserve">2022</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0">
            <w:pPr>
              <w:widowControl w:val="0"/>
              <w:jc w:val="center"/>
              <w:rPr>
                <w:b w:val="1"/>
                <w:sz w:val="20"/>
                <w:szCs w:val="20"/>
              </w:rPr>
            </w:pPr>
            <w:r w:rsidDel="00000000" w:rsidR="00000000" w:rsidRPr="00000000">
              <w:rPr>
                <w:rFonts w:ascii="Calibri" w:cs="Calibri" w:eastAsia="Calibri" w:hAnsi="Calibri"/>
                <w:b w:val="1"/>
                <w:u w:val="single"/>
                <w:rtl w:val="0"/>
              </w:rPr>
              <w:t xml:space="preserve">Median Bonus Gender Pay Gap</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1">
            <w:pPr>
              <w:widowControl w:val="0"/>
              <w:jc w:val="center"/>
              <w:rPr>
                <w:b w:val="1"/>
                <w:sz w:val="20"/>
                <w:szCs w:val="20"/>
              </w:rPr>
            </w:pPr>
            <w:r w:rsidDel="00000000" w:rsidR="00000000" w:rsidRPr="00000000">
              <w:rPr>
                <w:rFonts w:ascii="Calibri" w:cs="Calibri" w:eastAsia="Calibri" w:hAnsi="Calibri"/>
                <w:b w:val="1"/>
                <w:u w:val="single"/>
                <w:rtl w:val="0"/>
              </w:rPr>
              <w:t xml:space="preserve">2023</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2">
            <w:pPr>
              <w:widowControl w:val="0"/>
              <w:jc w:val="center"/>
              <w:rPr>
                <w:b w:val="1"/>
                <w:sz w:val="20"/>
                <w:szCs w:val="20"/>
              </w:rPr>
            </w:pPr>
            <w:r w:rsidDel="00000000" w:rsidR="00000000" w:rsidRPr="00000000">
              <w:rPr>
                <w:rFonts w:ascii="Calibri" w:cs="Calibri" w:eastAsia="Calibri" w:hAnsi="Calibri"/>
                <w:b w:val="1"/>
                <w:u w:val="single"/>
                <w:rtl w:val="0"/>
              </w:rPr>
              <w:t xml:space="preserve">2022</w:t>
            </w:r>
            <w:r w:rsidDel="00000000" w:rsidR="00000000" w:rsidRPr="00000000">
              <w:rPr>
                <w:rtl w:val="0"/>
              </w:rPr>
            </w:r>
          </w:p>
        </w:tc>
      </w:tr>
      <w:tr>
        <w:trPr>
          <w:cantSplit w:val="0"/>
          <w:tblHeader w:val="0"/>
        </w:trPr>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3">
            <w:pPr>
              <w:widowControl w:val="0"/>
              <w:rPr>
                <w:sz w:val="20"/>
                <w:szCs w:val="20"/>
              </w:rPr>
            </w:pPr>
            <w:r w:rsidDel="00000000" w:rsidR="00000000" w:rsidRPr="00000000">
              <w:rPr>
                <w:rFonts w:ascii="Calibri" w:cs="Calibri" w:eastAsia="Calibri" w:hAnsi="Calibri"/>
                <w:rtl w:val="0"/>
              </w:rPr>
              <w:t xml:space="preserve">Male</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4">
            <w:pPr>
              <w:widowControl w:val="0"/>
              <w:jc w:val="center"/>
              <w:rPr>
                <w:sz w:val="20"/>
                <w:szCs w:val="20"/>
              </w:rPr>
            </w:pPr>
            <w:r w:rsidDel="00000000" w:rsidR="00000000" w:rsidRPr="00000000">
              <w:rPr>
                <w:rFonts w:ascii="Calibri" w:cs="Calibri" w:eastAsia="Calibri" w:hAnsi="Calibri"/>
                <w:rtl w:val="0"/>
              </w:rPr>
              <w:t xml:space="preserve">£ 374.39</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5">
            <w:pPr>
              <w:widowControl w:val="0"/>
              <w:jc w:val="center"/>
              <w:rPr>
                <w:sz w:val="20"/>
                <w:szCs w:val="20"/>
              </w:rPr>
            </w:pPr>
            <w:r w:rsidDel="00000000" w:rsidR="00000000" w:rsidRPr="00000000">
              <w:rPr>
                <w:rFonts w:ascii="Calibri" w:cs="Calibri" w:eastAsia="Calibri" w:hAnsi="Calibri"/>
                <w:rtl w:val="0"/>
              </w:rPr>
              <w:t xml:space="preserve">£ 378.55</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6">
            <w:pPr>
              <w:widowControl w:val="0"/>
              <w:rPr>
                <w:sz w:val="20"/>
                <w:szCs w:val="20"/>
              </w:rPr>
            </w:pPr>
            <w:r w:rsidDel="00000000" w:rsidR="00000000" w:rsidRPr="00000000">
              <w:rPr>
                <w:rFonts w:ascii="Calibri" w:cs="Calibri" w:eastAsia="Calibri" w:hAnsi="Calibri"/>
                <w:rtl w:val="0"/>
              </w:rPr>
              <w:t xml:space="preserve">Male</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7">
            <w:pPr>
              <w:widowControl w:val="0"/>
              <w:jc w:val="center"/>
              <w:rPr>
                <w:sz w:val="20"/>
                <w:szCs w:val="20"/>
              </w:rPr>
            </w:pPr>
            <w:r w:rsidDel="00000000" w:rsidR="00000000" w:rsidRPr="00000000">
              <w:rPr>
                <w:rFonts w:ascii="Calibri" w:cs="Calibri" w:eastAsia="Calibri" w:hAnsi="Calibri"/>
                <w:rtl w:val="0"/>
              </w:rPr>
              <w:t xml:space="preserve">£ 200.00</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8">
            <w:pPr>
              <w:widowControl w:val="0"/>
              <w:jc w:val="center"/>
              <w:rPr>
                <w:sz w:val="20"/>
                <w:szCs w:val="20"/>
              </w:rPr>
            </w:pPr>
            <w:r w:rsidDel="00000000" w:rsidR="00000000" w:rsidRPr="00000000">
              <w:rPr>
                <w:rFonts w:ascii="Calibri" w:cs="Calibri" w:eastAsia="Calibri" w:hAnsi="Calibri"/>
                <w:rtl w:val="0"/>
              </w:rPr>
              <w:t xml:space="preserve">£ 258.87</w:t>
            </w:r>
            <w:r w:rsidDel="00000000" w:rsidR="00000000" w:rsidRPr="00000000">
              <w:rPr>
                <w:rtl w:val="0"/>
              </w:rPr>
            </w:r>
          </w:p>
        </w:tc>
      </w:tr>
      <w:tr>
        <w:trPr>
          <w:cantSplit w:val="0"/>
          <w:tblHeader w:val="0"/>
        </w:trPr>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9">
            <w:pPr>
              <w:widowControl w:val="0"/>
              <w:rPr>
                <w:sz w:val="20"/>
                <w:szCs w:val="20"/>
              </w:rPr>
            </w:pPr>
            <w:r w:rsidDel="00000000" w:rsidR="00000000" w:rsidRPr="00000000">
              <w:rPr>
                <w:rFonts w:ascii="Calibri" w:cs="Calibri" w:eastAsia="Calibri" w:hAnsi="Calibri"/>
                <w:rtl w:val="0"/>
              </w:rPr>
              <w:t xml:space="preserve">Female</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A">
            <w:pPr>
              <w:widowControl w:val="0"/>
              <w:jc w:val="center"/>
              <w:rPr>
                <w:sz w:val="20"/>
                <w:szCs w:val="20"/>
              </w:rPr>
            </w:pPr>
            <w:r w:rsidDel="00000000" w:rsidR="00000000" w:rsidRPr="00000000">
              <w:rPr>
                <w:rFonts w:ascii="Calibri" w:cs="Calibri" w:eastAsia="Calibri" w:hAnsi="Calibri"/>
                <w:rtl w:val="0"/>
              </w:rPr>
              <w:t xml:space="preserve">£ 389.55</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B">
            <w:pPr>
              <w:widowControl w:val="0"/>
              <w:jc w:val="center"/>
              <w:rPr>
                <w:sz w:val="20"/>
                <w:szCs w:val="20"/>
              </w:rPr>
            </w:pPr>
            <w:r w:rsidDel="00000000" w:rsidR="00000000" w:rsidRPr="00000000">
              <w:rPr>
                <w:rFonts w:ascii="Calibri" w:cs="Calibri" w:eastAsia="Calibri" w:hAnsi="Calibri"/>
                <w:rtl w:val="0"/>
              </w:rPr>
              <w:t xml:space="preserve">£ 370.42</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C">
            <w:pPr>
              <w:widowControl w:val="0"/>
              <w:rPr>
                <w:sz w:val="20"/>
                <w:szCs w:val="20"/>
              </w:rPr>
            </w:pPr>
            <w:r w:rsidDel="00000000" w:rsidR="00000000" w:rsidRPr="00000000">
              <w:rPr>
                <w:rFonts w:ascii="Calibri" w:cs="Calibri" w:eastAsia="Calibri" w:hAnsi="Calibri"/>
                <w:rtl w:val="0"/>
              </w:rPr>
              <w:t xml:space="preserve">Female</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D">
            <w:pPr>
              <w:widowControl w:val="0"/>
              <w:jc w:val="center"/>
              <w:rPr>
                <w:sz w:val="20"/>
                <w:szCs w:val="20"/>
              </w:rPr>
            </w:pPr>
            <w:r w:rsidDel="00000000" w:rsidR="00000000" w:rsidRPr="00000000">
              <w:rPr>
                <w:rFonts w:ascii="Calibri" w:cs="Calibri" w:eastAsia="Calibri" w:hAnsi="Calibri"/>
                <w:rtl w:val="0"/>
              </w:rPr>
              <w:t xml:space="preserve">£ 200.00</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E">
            <w:pPr>
              <w:widowControl w:val="0"/>
              <w:jc w:val="center"/>
              <w:rPr>
                <w:sz w:val="20"/>
                <w:szCs w:val="20"/>
              </w:rPr>
            </w:pPr>
            <w:r w:rsidDel="00000000" w:rsidR="00000000" w:rsidRPr="00000000">
              <w:rPr>
                <w:rFonts w:ascii="Calibri" w:cs="Calibri" w:eastAsia="Calibri" w:hAnsi="Calibri"/>
                <w:rtl w:val="0"/>
              </w:rPr>
              <w:t xml:space="preserve">£ 200.00</w:t>
            </w:r>
            <w:r w:rsidDel="00000000" w:rsidR="00000000" w:rsidRPr="00000000">
              <w:rPr>
                <w:rtl w:val="0"/>
              </w:rPr>
            </w:r>
          </w:p>
        </w:tc>
      </w:tr>
      <w:tr>
        <w:trPr>
          <w:cantSplit w:val="0"/>
          <w:tblHeader w:val="0"/>
        </w:trPr>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6F">
            <w:pPr>
              <w:widowControl w:val="0"/>
              <w:rPr>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70">
            <w:pPr>
              <w:widowControl w:val="0"/>
              <w:rPr>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71">
            <w:pPr>
              <w:widowControl w:val="0"/>
              <w:rPr>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73">
            <w:pPr>
              <w:widowControl w:val="0"/>
              <w:rPr>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74">
            <w:pPr>
              <w:widowControl w:val="0"/>
              <w:rPr>
                <w:sz w:val="20"/>
                <w:szCs w:val="20"/>
              </w:rPr>
            </w:pPr>
            <w:r w:rsidDel="00000000" w:rsidR="00000000" w:rsidRPr="00000000">
              <w:rPr>
                <w:rtl w:val="0"/>
              </w:rPr>
            </w:r>
          </w:p>
        </w:tc>
      </w:tr>
      <w:tr>
        <w:trPr>
          <w:cantSplit w:val="0"/>
          <w:tblHeader w:val="0"/>
        </w:trPr>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75">
            <w:pPr>
              <w:widowControl w:val="0"/>
              <w:rPr>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9ead3"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sz w:val="20"/>
                <w:szCs w:val="20"/>
              </w:rPr>
            </w:pPr>
            <w:r w:rsidDel="00000000" w:rsidR="00000000" w:rsidRPr="00000000">
              <w:rPr>
                <w:rFonts w:ascii="Calibri" w:cs="Calibri" w:eastAsia="Calibri" w:hAnsi="Calibri"/>
                <w:rtl w:val="0"/>
              </w:rPr>
              <w:t xml:space="preserve">-4.05%</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ff2cc"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sz w:val="20"/>
                <w:szCs w:val="20"/>
              </w:rPr>
            </w:pPr>
            <w:r w:rsidDel="00000000" w:rsidR="00000000" w:rsidRPr="00000000">
              <w:rPr>
                <w:rFonts w:ascii="Calibri" w:cs="Calibri" w:eastAsia="Calibri" w:hAnsi="Calibri"/>
                <w:rtl w:val="0"/>
              </w:rPr>
              <w:t xml:space="preserve">2.15%</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tcMar>
              <w:top w:w="40.0" w:type="dxa"/>
              <w:left w:w="40.0" w:type="dxa"/>
              <w:bottom w:w="40.0" w:type="dxa"/>
              <w:right w:w="40.0" w:type="dxa"/>
            </w:tcMar>
            <w:vAlign w:val="center"/>
          </w:tcPr>
          <w:p w:rsidR="00000000" w:rsidDel="00000000" w:rsidP="00000000" w:rsidRDefault="00000000" w:rsidRPr="00000000" w14:paraId="00000078">
            <w:pPr>
              <w:widowControl w:val="0"/>
              <w:rPr>
                <w:sz w:val="20"/>
                <w:szCs w:val="20"/>
              </w:rPr>
            </w:pP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d9ead3"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sz w:val="20"/>
                <w:szCs w:val="20"/>
              </w:rPr>
            </w:pPr>
            <w:r w:rsidDel="00000000" w:rsidR="00000000" w:rsidRPr="00000000">
              <w:rPr>
                <w:rFonts w:ascii="Calibri" w:cs="Calibri" w:eastAsia="Calibri" w:hAnsi="Calibri"/>
                <w:rtl w:val="0"/>
              </w:rPr>
              <w:t xml:space="preserve">0.00%</w:t>
            </w:r>
            <w:r w:rsidDel="00000000" w:rsidR="00000000" w:rsidRPr="00000000">
              <w:rPr>
                <w:rtl w:val="0"/>
              </w:rPr>
            </w:r>
          </w:p>
        </w:tc>
        <w:tc>
          <w:tcPr>
            <w:tcBorders>
              <w:top w:color="cccccc" w:space="0" w:sz="18" w:val="single"/>
              <w:left w:color="cccccc" w:space="0" w:sz="18" w:val="single"/>
              <w:bottom w:color="cccccc" w:space="0" w:sz="18" w:val="single"/>
              <w:right w:color="cccccc" w:space="0" w:sz="18" w:val="single"/>
            </w:tcBorders>
            <w:shd w:fill="fff2cc"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sz w:val="20"/>
                <w:szCs w:val="20"/>
              </w:rPr>
            </w:pPr>
            <w:r w:rsidDel="00000000" w:rsidR="00000000" w:rsidRPr="00000000">
              <w:rPr>
                <w:rFonts w:ascii="Calibri" w:cs="Calibri" w:eastAsia="Calibri" w:hAnsi="Calibri"/>
                <w:rtl w:val="0"/>
              </w:rPr>
              <w:t xml:space="preserve">22.74%</w:t>
            </w:r>
            <w:r w:rsidDel="00000000" w:rsidR="00000000" w:rsidRPr="00000000">
              <w:rPr>
                <w:rtl w:val="0"/>
              </w:rPr>
            </w:r>
          </w:p>
        </w:tc>
      </w:tr>
    </w:tbl>
    <w:p w:rsidR="00000000" w:rsidDel="00000000" w:rsidP="00000000" w:rsidRDefault="00000000" w:rsidRPr="00000000" w14:paraId="0000007B">
      <w:pPr>
        <w:spacing w:line="276" w:lineRule="auto"/>
        <w:jc w:val="both"/>
        <w:rPr>
          <w:sz w:val="24"/>
          <w:szCs w:val="24"/>
        </w:rPr>
      </w:pPr>
      <w:r w:rsidDel="00000000" w:rsidR="00000000" w:rsidRPr="00000000">
        <w:rPr>
          <w:rtl w:val="0"/>
        </w:rPr>
      </w:r>
    </w:p>
    <w:p w:rsidR="00000000" w:rsidDel="00000000" w:rsidP="00000000" w:rsidRDefault="00000000" w:rsidRPr="00000000" w14:paraId="0000007C">
      <w:pPr>
        <w:spacing w:line="276" w:lineRule="auto"/>
        <w:jc w:val="both"/>
        <w:rPr>
          <w:sz w:val="24"/>
          <w:szCs w:val="24"/>
        </w:rPr>
      </w:pPr>
      <w:r w:rsidDel="00000000" w:rsidR="00000000" w:rsidRPr="00000000">
        <w:rPr>
          <w:sz w:val="24"/>
          <w:szCs w:val="24"/>
        </w:rPr>
        <w:drawing>
          <wp:inline distB="114300" distT="114300" distL="114300" distR="114300">
            <wp:extent cx="6477150" cy="4000500"/>
            <wp:effectExtent b="0" l="0" r="0" t="0"/>
            <wp:docPr descr="Chart" id="3" name="image5.png"/>
            <a:graphic>
              <a:graphicData uri="http://schemas.openxmlformats.org/drawingml/2006/picture">
                <pic:pic>
                  <pic:nvPicPr>
                    <pic:cNvPr descr="Chart" id="0" name="image5.png"/>
                    <pic:cNvPicPr preferRelativeResize="0"/>
                  </pic:nvPicPr>
                  <pic:blipFill>
                    <a:blip r:embed="rId8"/>
                    <a:srcRect b="0" l="0" r="0" t="0"/>
                    <a:stretch>
                      <a:fillRect/>
                    </a:stretch>
                  </pic:blipFill>
                  <pic:spPr>
                    <a:xfrm>
                      <a:off x="0" y="0"/>
                      <a:ext cx="647715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276" w:lineRule="auto"/>
        <w:jc w:val="both"/>
        <w:rPr>
          <w:sz w:val="24"/>
          <w:szCs w:val="24"/>
        </w:rPr>
      </w:pPr>
      <w:r w:rsidDel="00000000" w:rsidR="00000000" w:rsidRPr="00000000">
        <w:rPr>
          <w:rtl w:val="0"/>
        </w:rPr>
      </w:r>
    </w:p>
    <w:p w:rsidR="00000000" w:rsidDel="00000000" w:rsidP="00000000" w:rsidRDefault="00000000" w:rsidRPr="00000000" w14:paraId="0000007E">
      <w:pPr>
        <w:spacing w:line="276" w:lineRule="auto"/>
        <w:jc w:val="both"/>
        <w:rPr>
          <w:sz w:val="24"/>
          <w:szCs w:val="24"/>
        </w:rPr>
      </w:pPr>
      <w:r w:rsidDel="00000000" w:rsidR="00000000" w:rsidRPr="00000000">
        <w:rPr>
          <w:sz w:val="24"/>
          <w:szCs w:val="24"/>
          <w:rtl w:val="0"/>
        </w:rPr>
        <w:t xml:space="preserve">We also track how many people (by gender) receive a bonus in the year, this is expressed in the graph below. It should be noted that the values are percentages showing that in 2022/23, approximately one fifth of employees were paid a bonus (in both genders). </w:t>
      </w:r>
    </w:p>
    <w:p w:rsidR="00000000" w:rsidDel="00000000" w:rsidP="00000000" w:rsidRDefault="00000000" w:rsidRPr="00000000" w14:paraId="0000007F">
      <w:pPr>
        <w:spacing w:line="276" w:lineRule="auto"/>
        <w:jc w:val="both"/>
        <w:rPr>
          <w:sz w:val="24"/>
          <w:szCs w:val="24"/>
        </w:rPr>
      </w:pPr>
      <w:r w:rsidDel="00000000" w:rsidR="00000000" w:rsidRPr="00000000">
        <w:rPr>
          <w:rtl w:val="0"/>
        </w:rPr>
      </w:r>
    </w:p>
    <w:p w:rsidR="00000000" w:rsidDel="00000000" w:rsidP="00000000" w:rsidRDefault="00000000" w:rsidRPr="00000000" w14:paraId="00000080">
      <w:pPr>
        <w:spacing w:line="276" w:lineRule="auto"/>
        <w:jc w:val="both"/>
        <w:rPr>
          <w:sz w:val="24"/>
          <w:szCs w:val="24"/>
        </w:rPr>
      </w:pPr>
      <w:r w:rsidDel="00000000" w:rsidR="00000000" w:rsidRPr="00000000">
        <w:rPr>
          <w:sz w:val="24"/>
          <w:szCs w:val="24"/>
          <w:rtl w:val="0"/>
        </w:rPr>
        <w:t xml:space="preserve">The spike shown for 2019/20 reflects the payment of a bonus to all employees as a thank you for their extraordinary efforts through the first COVID lockdown.</w:t>
      </w:r>
    </w:p>
    <w:p w:rsidR="00000000" w:rsidDel="00000000" w:rsidP="00000000" w:rsidRDefault="00000000" w:rsidRPr="00000000" w14:paraId="00000081">
      <w:pPr>
        <w:spacing w:line="276" w:lineRule="auto"/>
        <w:jc w:val="both"/>
        <w:rPr>
          <w:sz w:val="24"/>
          <w:szCs w:val="24"/>
        </w:rPr>
      </w:pPr>
      <w:r w:rsidDel="00000000" w:rsidR="00000000" w:rsidRPr="00000000">
        <w:rPr>
          <w:rtl w:val="0"/>
        </w:rPr>
      </w:r>
    </w:p>
    <w:p w:rsidR="00000000" w:rsidDel="00000000" w:rsidP="00000000" w:rsidRDefault="00000000" w:rsidRPr="00000000" w14:paraId="00000082">
      <w:pPr>
        <w:spacing w:line="276" w:lineRule="auto"/>
        <w:jc w:val="both"/>
        <w:rPr>
          <w:sz w:val="24"/>
          <w:szCs w:val="24"/>
        </w:rPr>
      </w:pPr>
      <w:r w:rsidDel="00000000" w:rsidR="00000000" w:rsidRPr="00000000">
        <w:rPr>
          <w:sz w:val="24"/>
          <w:szCs w:val="24"/>
        </w:rPr>
        <w:drawing>
          <wp:inline distB="114300" distT="114300" distL="114300" distR="114300">
            <wp:extent cx="6477150" cy="4000500"/>
            <wp:effectExtent b="0" l="0" r="0" t="0"/>
            <wp:docPr descr="Chart" id="5" name="image2.png"/>
            <a:graphic>
              <a:graphicData uri="http://schemas.openxmlformats.org/drawingml/2006/picture">
                <pic:pic>
                  <pic:nvPicPr>
                    <pic:cNvPr descr="Chart" id="0" name="image2.png"/>
                    <pic:cNvPicPr preferRelativeResize="0"/>
                  </pic:nvPicPr>
                  <pic:blipFill>
                    <a:blip r:embed="rId9"/>
                    <a:srcRect b="0" l="0" r="0" t="0"/>
                    <a:stretch>
                      <a:fillRect/>
                    </a:stretch>
                  </pic:blipFill>
                  <pic:spPr>
                    <a:xfrm>
                      <a:off x="0" y="0"/>
                      <a:ext cx="647715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76" w:lineRule="auto"/>
        <w:jc w:val="both"/>
        <w:rPr>
          <w:sz w:val="24"/>
          <w:szCs w:val="24"/>
        </w:rPr>
      </w:pPr>
      <w:r w:rsidDel="00000000" w:rsidR="00000000" w:rsidRPr="00000000">
        <w:rPr>
          <w:sz w:val="24"/>
          <w:szCs w:val="24"/>
          <w:rtl w:val="0"/>
        </w:rPr>
        <w:t xml:space="preserve">Brunelcare aims to treat everyone fairly at work, across all levels and locations. This includes making sure everyone has the same opportunities for recognition, reward and career development. Because of our pay grading system, we know that we provide men and women with equal pay for the roles they hold.</w:t>
      </w:r>
    </w:p>
    <w:p w:rsidR="00000000" w:rsidDel="00000000" w:rsidP="00000000" w:rsidRDefault="00000000" w:rsidRPr="00000000" w14:paraId="00000084">
      <w:pPr>
        <w:spacing w:line="276" w:lineRule="auto"/>
        <w:jc w:val="both"/>
        <w:rPr>
          <w:sz w:val="24"/>
          <w:szCs w:val="24"/>
        </w:rPr>
      </w:pPr>
      <w:r w:rsidDel="00000000" w:rsidR="00000000" w:rsidRPr="00000000">
        <w:rPr>
          <w:rtl w:val="0"/>
        </w:rPr>
      </w:r>
    </w:p>
    <w:p w:rsidR="00000000" w:rsidDel="00000000" w:rsidP="00000000" w:rsidRDefault="00000000" w:rsidRPr="00000000" w14:paraId="00000085">
      <w:pPr>
        <w:spacing w:line="276" w:lineRule="auto"/>
        <w:jc w:val="both"/>
        <w:rPr>
          <w:sz w:val="24"/>
          <w:szCs w:val="24"/>
        </w:rPr>
      </w:pPr>
      <w:r w:rsidDel="00000000" w:rsidR="00000000" w:rsidRPr="00000000">
        <w:rPr>
          <w:sz w:val="24"/>
          <w:szCs w:val="24"/>
          <w:rtl w:val="0"/>
        </w:rPr>
        <w:t xml:space="preserve">We are committed to ensuring that leadership positions are available to the widest pool of talent regardless of gender. We are proud that our leadership team has an excellent gender balance; of our six executives, four are female including our Chief Executive. </w:t>
      </w:r>
    </w:p>
    <w:p w:rsidR="00000000" w:rsidDel="00000000" w:rsidP="00000000" w:rsidRDefault="00000000" w:rsidRPr="00000000" w14:paraId="00000086">
      <w:pPr>
        <w:spacing w:line="276" w:lineRule="auto"/>
        <w:jc w:val="both"/>
        <w:rPr>
          <w:sz w:val="24"/>
          <w:szCs w:val="24"/>
        </w:rPr>
      </w:pPr>
      <w:r w:rsidDel="00000000" w:rsidR="00000000" w:rsidRPr="00000000">
        <w:rPr>
          <w:rtl w:val="0"/>
        </w:rPr>
      </w:r>
    </w:p>
    <w:p w:rsidR="00000000" w:rsidDel="00000000" w:rsidP="00000000" w:rsidRDefault="00000000" w:rsidRPr="00000000" w14:paraId="00000087">
      <w:pPr>
        <w:spacing w:line="276" w:lineRule="auto"/>
        <w:jc w:val="both"/>
        <w:rPr>
          <w:sz w:val="24"/>
          <w:szCs w:val="24"/>
        </w:rPr>
      </w:pPr>
      <w:r w:rsidDel="00000000" w:rsidR="00000000" w:rsidRPr="00000000">
        <w:rPr>
          <w:sz w:val="24"/>
          <w:szCs w:val="24"/>
          <w:rtl w:val="0"/>
        </w:rPr>
        <w:t xml:space="preserve">We are equally proud that out of the 245 highest paid employees across Brunelcare, </w:t>
      </w:r>
      <w:r w:rsidDel="00000000" w:rsidR="00000000" w:rsidRPr="00000000">
        <w:rPr>
          <w:rFonts w:ascii="Calibri" w:cs="Calibri" w:eastAsia="Calibri" w:hAnsi="Calibri"/>
          <w:sz w:val="24"/>
          <w:szCs w:val="24"/>
          <w:rtl w:val="0"/>
        </w:rPr>
        <w:t xml:space="preserve">73.06</w:t>
      </w:r>
      <w:r w:rsidDel="00000000" w:rsidR="00000000" w:rsidRPr="00000000">
        <w:rPr>
          <w:sz w:val="24"/>
          <w:szCs w:val="24"/>
          <w:rtl w:val="0"/>
        </w:rPr>
        <w:t xml:space="preserve">% are female.</w:t>
      </w:r>
    </w:p>
    <w:p w:rsidR="00000000" w:rsidDel="00000000" w:rsidP="00000000" w:rsidRDefault="00000000" w:rsidRPr="00000000" w14:paraId="00000088">
      <w:pPr>
        <w:spacing w:line="276" w:lineRule="auto"/>
        <w:jc w:val="both"/>
        <w:rPr>
          <w:color w:val="7030a0"/>
          <w:sz w:val="24"/>
          <w:szCs w:val="24"/>
        </w:rPr>
      </w:pPr>
      <w:r w:rsidDel="00000000" w:rsidR="00000000" w:rsidRPr="00000000">
        <w:rPr>
          <w:rtl w:val="0"/>
        </w:rPr>
      </w:r>
    </w:p>
    <w:p w:rsidR="00000000" w:rsidDel="00000000" w:rsidP="00000000" w:rsidRDefault="00000000" w:rsidRPr="00000000" w14:paraId="00000089">
      <w:pPr>
        <w:spacing w:after="200" w:line="276" w:lineRule="auto"/>
        <w:jc w:val="both"/>
        <w:rPr>
          <w:sz w:val="24"/>
          <w:szCs w:val="24"/>
        </w:rPr>
      </w:pPr>
      <w:bookmarkStart w:colFirst="0" w:colLast="0" w:name="_gjdgxs" w:id="0"/>
      <w:bookmarkEnd w:id="0"/>
      <w:r w:rsidDel="00000000" w:rsidR="00000000" w:rsidRPr="00000000">
        <w:rPr>
          <w:sz w:val="24"/>
          <w:szCs w:val="24"/>
          <w:rtl w:val="0"/>
        </w:rPr>
        <w:t xml:space="preserve">Brunelcare is committed to delivering equality of opportunity regardless of gender and has a pay and grading structure to support this. We remain determined to ensure that our gender pay gap reflects the reality of our organisation and can be explained in full. </w:t>
      </w:r>
    </w:p>
    <w:p w:rsidR="00000000" w:rsidDel="00000000" w:rsidP="00000000" w:rsidRDefault="00000000" w:rsidRPr="00000000" w14:paraId="0000008A">
      <w:pPr>
        <w:spacing w:after="200" w:line="276" w:lineRule="auto"/>
        <w:jc w:val="both"/>
        <w:rPr>
          <w:sz w:val="24"/>
          <w:szCs w:val="24"/>
        </w:rPr>
      </w:pPr>
      <w:bookmarkStart w:colFirst="0" w:colLast="0" w:name="_v8opwp6b0cu3" w:id="1"/>
      <w:bookmarkEnd w:id="1"/>
      <w:r w:rsidDel="00000000" w:rsidR="00000000" w:rsidRPr="00000000">
        <w:rPr>
          <w:sz w:val="24"/>
          <w:szCs w:val="24"/>
          <w:rtl w:val="0"/>
        </w:rPr>
        <w:t xml:space="preserve">We believe that we are successfully delivering equality both in terms of equal pay and also in rewarding roles of equal value. </w:t>
      </w:r>
    </w:p>
    <w:p w:rsidR="00000000" w:rsidDel="00000000" w:rsidP="00000000" w:rsidRDefault="00000000" w:rsidRPr="00000000" w14:paraId="0000008B">
      <w:pPr>
        <w:spacing w:after="200" w:line="276" w:lineRule="auto"/>
        <w:jc w:val="both"/>
        <w:rPr>
          <w:sz w:val="24"/>
          <w:szCs w:val="24"/>
        </w:rPr>
      </w:pPr>
      <w:bookmarkStart w:colFirst="0" w:colLast="0" w:name="_eicf6511n79d" w:id="2"/>
      <w:bookmarkEnd w:id="2"/>
      <w:r w:rsidDel="00000000" w:rsidR="00000000" w:rsidRPr="00000000">
        <w:rPr>
          <w:sz w:val="24"/>
          <w:szCs w:val="24"/>
          <w:rtl w:val="0"/>
        </w:rPr>
        <w:t xml:space="preserve">The full suite of data is provided below:</w:t>
      </w:r>
    </w:p>
    <w:p w:rsidR="00000000" w:rsidDel="00000000" w:rsidP="00000000" w:rsidRDefault="00000000" w:rsidRPr="00000000" w14:paraId="0000008C">
      <w:pPr>
        <w:spacing w:after="200" w:line="276" w:lineRule="auto"/>
        <w:jc w:val="both"/>
        <w:rPr>
          <w:sz w:val="24"/>
          <w:szCs w:val="24"/>
        </w:rPr>
      </w:pPr>
      <w:bookmarkStart w:colFirst="0" w:colLast="0" w:name="_taf6dpa0secm" w:id="3"/>
      <w:bookmarkEnd w:id="3"/>
      <w:r w:rsidDel="00000000" w:rsidR="00000000" w:rsidRPr="00000000">
        <w:rPr>
          <w:rtl w:val="0"/>
        </w:rPr>
      </w:r>
    </w:p>
    <w:p w:rsidR="00000000" w:rsidDel="00000000" w:rsidP="00000000" w:rsidRDefault="00000000" w:rsidRPr="00000000" w14:paraId="0000008D">
      <w:pPr>
        <w:spacing w:after="200" w:line="276" w:lineRule="auto"/>
        <w:jc w:val="both"/>
        <w:rPr>
          <w:sz w:val="24"/>
          <w:szCs w:val="24"/>
        </w:rPr>
      </w:pPr>
      <w:bookmarkStart w:colFirst="0" w:colLast="0" w:name="_xo78xychgmow" w:id="4"/>
      <w:bookmarkEnd w:id="4"/>
      <w:r w:rsidDel="00000000" w:rsidR="00000000" w:rsidRPr="00000000">
        <w:rPr>
          <w:rtl w:val="0"/>
        </w:rPr>
      </w:r>
    </w:p>
    <w:tbl>
      <w:tblPr>
        <w:tblStyle w:val="Table3"/>
        <w:tblW w:w="89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65"/>
        <w:gridCol w:w="855"/>
        <w:gridCol w:w="855"/>
        <w:gridCol w:w="855"/>
        <w:gridCol w:w="975"/>
        <w:gridCol w:w="825"/>
        <w:gridCol w:w="825"/>
        <w:gridCol w:w="900"/>
        <w:tblGridChange w:id="0">
          <w:tblGrid>
            <w:gridCol w:w="2865"/>
            <w:gridCol w:w="855"/>
            <w:gridCol w:w="855"/>
            <w:gridCol w:w="855"/>
            <w:gridCol w:w="975"/>
            <w:gridCol w:w="825"/>
            <w:gridCol w:w="825"/>
            <w:gridCol w:w="900"/>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8E">
            <w:pPr>
              <w:widowControl w:val="0"/>
              <w:rPr>
                <w:rFonts w:ascii="Calibri" w:cs="Calibri" w:eastAsia="Calibri" w:hAnsi="Calibri"/>
              </w:rPr>
            </w:pPr>
            <w:r w:rsidDel="00000000" w:rsidR="00000000" w:rsidRPr="00000000">
              <w:rPr>
                <w:rFonts w:ascii="Calibri" w:cs="Calibri" w:eastAsia="Calibri" w:hAnsi="Calibri"/>
                <w:b w:val="1"/>
                <w:rtl w:val="0"/>
              </w:rPr>
              <w:t xml:space="preserve">Brunelcare</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8F">
            <w:pPr>
              <w:widowControl w:val="0"/>
              <w:rPr>
                <w:rFonts w:ascii="Calibri" w:cs="Calibri" w:eastAsia="Calibri" w:hAnsi="Calibri"/>
              </w:rPr>
            </w:pPr>
            <w:r w:rsidDel="00000000" w:rsidR="00000000" w:rsidRPr="00000000">
              <w:rPr>
                <w:rFonts w:ascii="Calibri" w:cs="Calibri" w:eastAsia="Calibri" w:hAnsi="Calibri"/>
                <w:b w:val="1"/>
                <w:rtl w:val="0"/>
              </w:rPr>
              <w:t xml:space="preserve">16/17</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0">
            <w:pPr>
              <w:widowControl w:val="0"/>
              <w:rPr>
                <w:rFonts w:ascii="Calibri" w:cs="Calibri" w:eastAsia="Calibri" w:hAnsi="Calibri"/>
              </w:rPr>
            </w:pPr>
            <w:r w:rsidDel="00000000" w:rsidR="00000000" w:rsidRPr="00000000">
              <w:rPr>
                <w:rFonts w:ascii="Calibri" w:cs="Calibri" w:eastAsia="Calibri" w:hAnsi="Calibri"/>
                <w:b w:val="1"/>
                <w:rtl w:val="0"/>
              </w:rPr>
              <w:t xml:space="preserve">17/18</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1">
            <w:pPr>
              <w:widowControl w:val="0"/>
              <w:rPr>
                <w:rFonts w:ascii="Calibri" w:cs="Calibri" w:eastAsia="Calibri" w:hAnsi="Calibri"/>
              </w:rPr>
            </w:pPr>
            <w:r w:rsidDel="00000000" w:rsidR="00000000" w:rsidRPr="00000000">
              <w:rPr>
                <w:rFonts w:ascii="Calibri" w:cs="Calibri" w:eastAsia="Calibri" w:hAnsi="Calibri"/>
                <w:b w:val="1"/>
                <w:rtl w:val="0"/>
              </w:rPr>
              <w:t xml:space="preserve">18/19</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2">
            <w:pPr>
              <w:widowControl w:val="0"/>
              <w:rPr>
                <w:rFonts w:ascii="Calibri" w:cs="Calibri" w:eastAsia="Calibri" w:hAnsi="Calibri"/>
              </w:rPr>
            </w:pPr>
            <w:r w:rsidDel="00000000" w:rsidR="00000000" w:rsidRPr="00000000">
              <w:rPr>
                <w:rFonts w:ascii="Calibri" w:cs="Calibri" w:eastAsia="Calibri" w:hAnsi="Calibri"/>
                <w:b w:val="1"/>
                <w:rtl w:val="0"/>
              </w:rPr>
              <w:t xml:space="preserve">19/20</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3">
            <w:pPr>
              <w:widowControl w:val="0"/>
              <w:rPr>
                <w:rFonts w:ascii="Calibri" w:cs="Calibri" w:eastAsia="Calibri" w:hAnsi="Calibri"/>
              </w:rPr>
            </w:pPr>
            <w:r w:rsidDel="00000000" w:rsidR="00000000" w:rsidRPr="00000000">
              <w:rPr>
                <w:rFonts w:ascii="Calibri" w:cs="Calibri" w:eastAsia="Calibri" w:hAnsi="Calibri"/>
                <w:b w:val="1"/>
                <w:rtl w:val="0"/>
              </w:rPr>
              <w:t xml:space="preserve">20/21</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4">
            <w:pPr>
              <w:widowControl w:val="0"/>
              <w:rPr>
                <w:rFonts w:ascii="Calibri" w:cs="Calibri" w:eastAsia="Calibri" w:hAnsi="Calibri"/>
              </w:rPr>
            </w:pPr>
            <w:r w:rsidDel="00000000" w:rsidR="00000000" w:rsidRPr="00000000">
              <w:rPr>
                <w:rFonts w:ascii="Calibri" w:cs="Calibri" w:eastAsia="Calibri" w:hAnsi="Calibri"/>
                <w:b w:val="1"/>
                <w:rtl w:val="0"/>
              </w:rPr>
              <w:t xml:space="preserve">21/22</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5">
            <w:pPr>
              <w:widowControl w:val="0"/>
              <w:rPr>
                <w:rFonts w:ascii="Calibri" w:cs="Calibri" w:eastAsia="Calibri" w:hAnsi="Calibri"/>
              </w:rPr>
            </w:pPr>
            <w:r w:rsidDel="00000000" w:rsidR="00000000" w:rsidRPr="00000000">
              <w:rPr>
                <w:rFonts w:ascii="Calibri" w:cs="Calibri" w:eastAsia="Calibri" w:hAnsi="Calibri"/>
                <w:b w:val="1"/>
                <w:rtl w:val="0"/>
              </w:rPr>
              <w:t xml:space="preserve">22/23</w:t>
            </w: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6">
            <w:pPr>
              <w:widowControl w:val="0"/>
              <w:rPr>
                <w:rFonts w:ascii="Calibri" w:cs="Calibri" w:eastAsia="Calibri" w:hAnsi="Calibri"/>
              </w:rPr>
            </w:pPr>
            <w:r w:rsidDel="00000000" w:rsidR="00000000" w:rsidRPr="00000000">
              <w:rPr>
                <w:rFonts w:ascii="Calibri" w:cs="Calibri" w:eastAsia="Calibri" w:hAnsi="Calibri"/>
                <w:rtl w:val="0"/>
              </w:rPr>
              <w:t xml:space="preserve">Mean Gender pay gap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7">
            <w:pPr>
              <w:widowControl w:val="0"/>
              <w:jc w:val="right"/>
              <w:rPr>
                <w:rFonts w:ascii="Calibri" w:cs="Calibri" w:eastAsia="Calibri" w:hAnsi="Calibri"/>
              </w:rPr>
            </w:pPr>
            <w:r w:rsidDel="00000000" w:rsidR="00000000" w:rsidRPr="00000000">
              <w:rPr>
                <w:rFonts w:ascii="Calibri" w:cs="Calibri" w:eastAsia="Calibri" w:hAnsi="Calibri"/>
                <w:rtl w:val="0"/>
              </w:rPr>
              <w:t xml:space="preserve">18.7%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8">
            <w:pPr>
              <w:widowControl w:val="0"/>
              <w:jc w:val="right"/>
              <w:rPr>
                <w:rFonts w:ascii="Calibri" w:cs="Calibri" w:eastAsia="Calibri" w:hAnsi="Calibri"/>
              </w:rPr>
            </w:pPr>
            <w:r w:rsidDel="00000000" w:rsidR="00000000" w:rsidRPr="00000000">
              <w:rPr>
                <w:rFonts w:ascii="Calibri" w:cs="Calibri" w:eastAsia="Calibri" w:hAnsi="Calibri"/>
                <w:rtl w:val="0"/>
              </w:rPr>
              <w:t xml:space="preserve">13.3%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9">
            <w:pPr>
              <w:widowControl w:val="0"/>
              <w:jc w:val="right"/>
              <w:rPr>
                <w:rFonts w:ascii="Calibri" w:cs="Calibri" w:eastAsia="Calibri" w:hAnsi="Calibri"/>
              </w:rPr>
            </w:pPr>
            <w:r w:rsidDel="00000000" w:rsidR="00000000" w:rsidRPr="00000000">
              <w:rPr>
                <w:rFonts w:ascii="Calibri" w:cs="Calibri" w:eastAsia="Calibri" w:hAnsi="Calibri"/>
                <w:rtl w:val="0"/>
              </w:rPr>
              <w:t xml:space="preserve">14.34%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A">
            <w:pPr>
              <w:widowControl w:val="0"/>
              <w:jc w:val="right"/>
              <w:rPr>
                <w:rFonts w:ascii="Calibri" w:cs="Calibri" w:eastAsia="Calibri" w:hAnsi="Calibri"/>
              </w:rPr>
            </w:pPr>
            <w:r w:rsidDel="00000000" w:rsidR="00000000" w:rsidRPr="00000000">
              <w:rPr>
                <w:rFonts w:ascii="Calibri" w:cs="Calibri" w:eastAsia="Calibri" w:hAnsi="Calibri"/>
                <w:rtl w:val="0"/>
              </w:rPr>
              <w:t xml:space="preserve">12.83%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B">
            <w:pPr>
              <w:widowControl w:val="0"/>
              <w:jc w:val="right"/>
              <w:rPr>
                <w:rFonts w:ascii="Calibri" w:cs="Calibri" w:eastAsia="Calibri" w:hAnsi="Calibri"/>
              </w:rPr>
            </w:pPr>
            <w:r w:rsidDel="00000000" w:rsidR="00000000" w:rsidRPr="00000000">
              <w:rPr>
                <w:rFonts w:ascii="Calibri" w:cs="Calibri" w:eastAsia="Calibri" w:hAnsi="Calibri"/>
                <w:rtl w:val="0"/>
              </w:rPr>
              <w:t xml:space="preserve">13.15%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C">
            <w:pPr>
              <w:widowControl w:val="0"/>
              <w:jc w:val="right"/>
              <w:rPr>
                <w:rFonts w:ascii="Calibri" w:cs="Calibri" w:eastAsia="Calibri" w:hAnsi="Calibri"/>
              </w:rPr>
            </w:pPr>
            <w:r w:rsidDel="00000000" w:rsidR="00000000" w:rsidRPr="00000000">
              <w:rPr>
                <w:rFonts w:ascii="Calibri" w:cs="Calibri" w:eastAsia="Calibri" w:hAnsi="Calibri"/>
                <w:rtl w:val="0"/>
              </w:rPr>
              <w:t xml:space="preserve">17.48%</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D">
            <w:pPr>
              <w:widowControl w:val="0"/>
              <w:jc w:val="right"/>
              <w:rPr>
                <w:rFonts w:ascii="Calibri" w:cs="Calibri" w:eastAsia="Calibri" w:hAnsi="Calibri"/>
              </w:rPr>
            </w:pPr>
            <w:r w:rsidDel="00000000" w:rsidR="00000000" w:rsidRPr="00000000">
              <w:rPr>
                <w:rFonts w:ascii="Calibri" w:cs="Calibri" w:eastAsia="Calibri" w:hAnsi="Calibri"/>
                <w:rtl w:val="0"/>
              </w:rPr>
              <w:t xml:space="preserve">14.99%</w:t>
            </w:r>
          </w:p>
        </w:tc>
      </w:tr>
      <w:tr>
        <w:trPr>
          <w:cantSplit w:val="0"/>
          <w:trHeight w:val="368.83789062499994"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E">
            <w:pPr>
              <w:widowControl w:val="0"/>
              <w:rPr>
                <w:rFonts w:ascii="Calibri" w:cs="Calibri" w:eastAsia="Calibri" w:hAnsi="Calibri"/>
              </w:rPr>
            </w:pPr>
            <w:r w:rsidDel="00000000" w:rsidR="00000000" w:rsidRPr="00000000">
              <w:rPr>
                <w:rFonts w:ascii="Calibri" w:cs="Calibri" w:eastAsia="Calibri" w:hAnsi="Calibri"/>
                <w:rtl w:val="0"/>
              </w:rPr>
              <w:t xml:space="preserve">Median Gender pay gap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9F">
            <w:pPr>
              <w:widowControl w:val="0"/>
              <w:jc w:val="right"/>
              <w:rPr>
                <w:rFonts w:ascii="Calibri" w:cs="Calibri" w:eastAsia="Calibri" w:hAnsi="Calibri"/>
              </w:rPr>
            </w:pPr>
            <w:r w:rsidDel="00000000" w:rsidR="00000000" w:rsidRPr="00000000">
              <w:rPr>
                <w:rFonts w:ascii="Calibri" w:cs="Calibri" w:eastAsia="Calibri" w:hAnsi="Calibri"/>
                <w:rtl w:val="0"/>
              </w:rPr>
              <w:t xml:space="preserve">7.3%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0">
            <w:pPr>
              <w:widowControl w:val="0"/>
              <w:jc w:val="right"/>
              <w:rPr>
                <w:rFonts w:ascii="Calibri" w:cs="Calibri" w:eastAsia="Calibri" w:hAnsi="Calibri"/>
              </w:rPr>
            </w:pPr>
            <w:r w:rsidDel="00000000" w:rsidR="00000000" w:rsidRPr="00000000">
              <w:rPr>
                <w:rFonts w:ascii="Calibri" w:cs="Calibri" w:eastAsia="Calibri" w:hAnsi="Calibri"/>
                <w:rtl w:val="0"/>
              </w:rPr>
              <w:t xml:space="preserve">5.3%</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1">
            <w:pPr>
              <w:widowControl w:val="0"/>
              <w:jc w:val="right"/>
              <w:rPr>
                <w:rFonts w:ascii="Calibri" w:cs="Calibri" w:eastAsia="Calibri" w:hAnsi="Calibri"/>
              </w:rPr>
            </w:pPr>
            <w:r w:rsidDel="00000000" w:rsidR="00000000" w:rsidRPr="00000000">
              <w:rPr>
                <w:rFonts w:ascii="Calibri" w:cs="Calibri" w:eastAsia="Calibri" w:hAnsi="Calibri"/>
                <w:rtl w:val="0"/>
              </w:rPr>
              <w:t xml:space="preserve">7.25%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2">
            <w:pPr>
              <w:widowControl w:val="0"/>
              <w:jc w:val="right"/>
              <w:rPr>
                <w:rFonts w:ascii="Calibri" w:cs="Calibri" w:eastAsia="Calibri" w:hAnsi="Calibri"/>
              </w:rPr>
            </w:pPr>
            <w:r w:rsidDel="00000000" w:rsidR="00000000" w:rsidRPr="00000000">
              <w:rPr>
                <w:rFonts w:ascii="Calibri" w:cs="Calibri" w:eastAsia="Calibri" w:hAnsi="Calibri"/>
                <w:rtl w:val="0"/>
              </w:rPr>
              <w:t xml:space="preserve">6.40%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3">
            <w:pPr>
              <w:widowControl w:val="0"/>
              <w:jc w:val="right"/>
              <w:rPr>
                <w:rFonts w:ascii="Calibri" w:cs="Calibri" w:eastAsia="Calibri" w:hAnsi="Calibri"/>
              </w:rPr>
            </w:pPr>
            <w:r w:rsidDel="00000000" w:rsidR="00000000" w:rsidRPr="00000000">
              <w:rPr>
                <w:rFonts w:ascii="Calibri" w:cs="Calibri" w:eastAsia="Calibri" w:hAnsi="Calibri"/>
                <w:rtl w:val="0"/>
              </w:rPr>
              <w:t xml:space="preserve">4.79%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4">
            <w:pPr>
              <w:widowControl w:val="0"/>
              <w:jc w:val="right"/>
              <w:rPr>
                <w:rFonts w:ascii="Calibri" w:cs="Calibri" w:eastAsia="Calibri" w:hAnsi="Calibri"/>
              </w:rPr>
            </w:pPr>
            <w:r w:rsidDel="00000000" w:rsidR="00000000" w:rsidRPr="00000000">
              <w:rPr>
                <w:rFonts w:ascii="Calibri" w:cs="Calibri" w:eastAsia="Calibri" w:hAnsi="Calibri"/>
                <w:rtl w:val="0"/>
              </w:rPr>
              <w:t xml:space="preserve">7.82%</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5">
            <w:pPr>
              <w:widowControl w:val="0"/>
              <w:jc w:val="right"/>
              <w:rPr>
                <w:rFonts w:ascii="Calibri" w:cs="Calibri" w:eastAsia="Calibri" w:hAnsi="Calibri"/>
              </w:rPr>
            </w:pPr>
            <w:r w:rsidDel="00000000" w:rsidR="00000000" w:rsidRPr="00000000">
              <w:rPr>
                <w:rFonts w:ascii="Calibri" w:cs="Calibri" w:eastAsia="Calibri" w:hAnsi="Calibri"/>
                <w:rtl w:val="0"/>
              </w:rPr>
              <w:t xml:space="preserve">4.17%</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6">
            <w:pPr>
              <w:widowControl w:val="0"/>
              <w:rPr>
                <w:rFonts w:ascii="Calibri" w:cs="Calibri" w:eastAsia="Calibri" w:hAnsi="Calibri"/>
              </w:rPr>
            </w:pPr>
            <w:r w:rsidDel="00000000" w:rsidR="00000000" w:rsidRPr="00000000">
              <w:rPr>
                <w:rFonts w:ascii="Calibri" w:cs="Calibri" w:eastAsia="Calibri" w:hAnsi="Calibri"/>
                <w:rtl w:val="0"/>
              </w:rPr>
              <w:t xml:space="preserve">UK Workforce Median pay gap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7">
            <w:pPr>
              <w:widowControl w:val="0"/>
              <w:jc w:val="right"/>
              <w:rPr>
                <w:rFonts w:ascii="Calibri" w:cs="Calibri" w:eastAsia="Calibri" w:hAnsi="Calibri"/>
              </w:rPr>
            </w:pPr>
            <w:r w:rsidDel="00000000" w:rsidR="00000000" w:rsidRPr="00000000">
              <w:rPr>
                <w:rFonts w:ascii="Calibri" w:cs="Calibri" w:eastAsia="Calibri" w:hAnsi="Calibri"/>
                <w:rtl w:val="0"/>
              </w:rPr>
              <w:t xml:space="preserve">18.20%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8">
            <w:pPr>
              <w:widowControl w:val="0"/>
              <w:jc w:val="right"/>
              <w:rPr>
                <w:rFonts w:ascii="Calibri" w:cs="Calibri" w:eastAsia="Calibri" w:hAnsi="Calibri"/>
              </w:rPr>
            </w:pPr>
            <w:r w:rsidDel="00000000" w:rsidR="00000000" w:rsidRPr="00000000">
              <w:rPr>
                <w:rFonts w:ascii="Calibri" w:cs="Calibri" w:eastAsia="Calibri" w:hAnsi="Calibri"/>
                <w:rtl w:val="0"/>
              </w:rPr>
              <w:t xml:space="preserve">18.40%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9">
            <w:pPr>
              <w:widowControl w:val="0"/>
              <w:jc w:val="right"/>
              <w:rPr>
                <w:rFonts w:ascii="Calibri" w:cs="Calibri" w:eastAsia="Calibri" w:hAnsi="Calibri"/>
              </w:rPr>
            </w:pPr>
            <w:r w:rsidDel="00000000" w:rsidR="00000000" w:rsidRPr="00000000">
              <w:rPr>
                <w:rFonts w:ascii="Calibri" w:cs="Calibri" w:eastAsia="Calibri" w:hAnsi="Calibri"/>
                <w:rtl w:val="0"/>
              </w:rPr>
              <w:t xml:space="preserve">17.80%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A">
            <w:pPr>
              <w:widowControl w:val="0"/>
              <w:jc w:val="right"/>
              <w:rPr>
                <w:rFonts w:ascii="Calibri" w:cs="Calibri" w:eastAsia="Calibri" w:hAnsi="Calibri"/>
              </w:rPr>
            </w:pPr>
            <w:r w:rsidDel="00000000" w:rsidR="00000000" w:rsidRPr="00000000">
              <w:rPr>
                <w:rFonts w:ascii="Calibri" w:cs="Calibri" w:eastAsia="Calibri" w:hAnsi="Calibri"/>
                <w:rtl w:val="0"/>
              </w:rPr>
              <w:t xml:space="preserve">17.30%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B">
            <w:pPr>
              <w:widowControl w:val="0"/>
              <w:jc w:val="right"/>
              <w:rPr>
                <w:rFonts w:ascii="Calibri" w:cs="Calibri" w:eastAsia="Calibri" w:hAnsi="Calibri"/>
              </w:rPr>
            </w:pPr>
            <w:r w:rsidDel="00000000" w:rsidR="00000000" w:rsidRPr="00000000">
              <w:rPr>
                <w:rFonts w:ascii="Calibri" w:cs="Calibri" w:eastAsia="Calibri" w:hAnsi="Calibri"/>
                <w:rtl w:val="0"/>
              </w:rPr>
              <w:t xml:space="preserve">15.40%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C">
            <w:pPr>
              <w:widowControl w:val="0"/>
              <w:jc w:val="right"/>
              <w:rPr>
                <w:rFonts w:ascii="Calibri" w:cs="Calibri" w:eastAsia="Calibri" w:hAnsi="Calibri"/>
              </w:rPr>
            </w:pPr>
            <w:r w:rsidDel="00000000" w:rsidR="00000000" w:rsidRPr="00000000">
              <w:rPr>
                <w:rFonts w:ascii="Calibri" w:cs="Calibri" w:eastAsia="Calibri" w:hAnsi="Calibri"/>
                <w:rtl w:val="0"/>
              </w:rPr>
              <w:t xml:space="preserve">14.40%</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AD">
            <w:pPr>
              <w:widowControl w:val="0"/>
              <w:jc w:val="right"/>
              <w:rPr>
                <w:rFonts w:ascii="Calibri" w:cs="Calibri" w:eastAsia="Calibri" w:hAnsi="Calibri"/>
              </w:rPr>
            </w:pPr>
            <w:r w:rsidDel="00000000" w:rsidR="00000000" w:rsidRPr="00000000">
              <w:rPr>
                <w:rFonts w:ascii="Calibri" w:cs="Calibri" w:eastAsia="Calibri" w:hAnsi="Calibri"/>
                <w:rtl w:val="0"/>
              </w:rPr>
              <w:t xml:space="preserve">14.30%</w:t>
            </w:r>
          </w:p>
        </w:tc>
      </w:tr>
      <w:tr>
        <w:trPr>
          <w:cantSplit w:val="0"/>
          <w:trHeight w:val="300" w:hRule="atLeast"/>
          <w:tblHeader w:val="0"/>
        </w:trPr>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AE">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AF">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B0">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B1">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B2">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B3">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B4">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B5">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6">
            <w:pPr>
              <w:widowControl w:val="0"/>
              <w:rPr>
                <w:rFonts w:ascii="Calibri" w:cs="Calibri" w:eastAsia="Calibri" w:hAnsi="Calibri"/>
              </w:rPr>
            </w:pPr>
            <w:r w:rsidDel="00000000" w:rsidR="00000000" w:rsidRPr="00000000">
              <w:rPr>
                <w:rFonts w:ascii="Calibri" w:cs="Calibri" w:eastAsia="Calibri" w:hAnsi="Calibri"/>
                <w:b w:val="1"/>
                <w:rtl w:val="0"/>
              </w:rPr>
              <w:t xml:space="preserve">Brunelcare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7">
            <w:pPr>
              <w:widowControl w:val="0"/>
              <w:rPr>
                <w:rFonts w:ascii="Calibri" w:cs="Calibri" w:eastAsia="Calibri" w:hAnsi="Calibri"/>
              </w:rPr>
            </w:pPr>
            <w:r w:rsidDel="00000000" w:rsidR="00000000" w:rsidRPr="00000000">
              <w:rPr>
                <w:rFonts w:ascii="Calibri" w:cs="Calibri" w:eastAsia="Calibri" w:hAnsi="Calibri"/>
                <w:b w:val="1"/>
                <w:rtl w:val="0"/>
              </w:rPr>
              <w:t xml:space="preserve">16/17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8">
            <w:pPr>
              <w:widowControl w:val="0"/>
              <w:rPr>
                <w:rFonts w:ascii="Calibri" w:cs="Calibri" w:eastAsia="Calibri" w:hAnsi="Calibri"/>
              </w:rPr>
            </w:pPr>
            <w:r w:rsidDel="00000000" w:rsidR="00000000" w:rsidRPr="00000000">
              <w:rPr>
                <w:rFonts w:ascii="Calibri" w:cs="Calibri" w:eastAsia="Calibri" w:hAnsi="Calibri"/>
                <w:b w:val="1"/>
                <w:rtl w:val="0"/>
              </w:rPr>
              <w:t xml:space="preserve">17/18</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9">
            <w:pPr>
              <w:widowControl w:val="0"/>
              <w:rPr>
                <w:rFonts w:ascii="Calibri" w:cs="Calibri" w:eastAsia="Calibri" w:hAnsi="Calibri"/>
              </w:rPr>
            </w:pPr>
            <w:r w:rsidDel="00000000" w:rsidR="00000000" w:rsidRPr="00000000">
              <w:rPr>
                <w:rFonts w:ascii="Calibri" w:cs="Calibri" w:eastAsia="Calibri" w:hAnsi="Calibri"/>
                <w:b w:val="1"/>
                <w:rtl w:val="0"/>
              </w:rPr>
              <w:t xml:space="preserve">18/19</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A">
            <w:pPr>
              <w:widowControl w:val="0"/>
              <w:rPr>
                <w:rFonts w:ascii="Calibri" w:cs="Calibri" w:eastAsia="Calibri" w:hAnsi="Calibri"/>
              </w:rPr>
            </w:pPr>
            <w:r w:rsidDel="00000000" w:rsidR="00000000" w:rsidRPr="00000000">
              <w:rPr>
                <w:rFonts w:ascii="Calibri" w:cs="Calibri" w:eastAsia="Calibri" w:hAnsi="Calibri"/>
                <w:b w:val="1"/>
                <w:rtl w:val="0"/>
              </w:rPr>
              <w:t xml:space="preserve">19/20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B">
            <w:pPr>
              <w:widowControl w:val="0"/>
              <w:rPr>
                <w:rFonts w:ascii="Calibri" w:cs="Calibri" w:eastAsia="Calibri" w:hAnsi="Calibri"/>
              </w:rPr>
            </w:pPr>
            <w:r w:rsidDel="00000000" w:rsidR="00000000" w:rsidRPr="00000000">
              <w:rPr>
                <w:rFonts w:ascii="Calibri" w:cs="Calibri" w:eastAsia="Calibri" w:hAnsi="Calibri"/>
                <w:b w:val="1"/>
                <w:rtl w:val="0"/>
              </w:rPr>
              <w:t xml:space="preserve">20/21</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C">
            <w:pPr>
              <w:widowControl w:val="0"/>
              <w:rPr>
                <w:rFonts w:ascii="Calibri" w:cs="Calibri" w:eastAsia="Calibri" w:hAnsi="Calibri"/>
              </w:rPr>
            </w:pPr>
            <w:r w:rsidDel="00000000" w:rsidR="00000000" w:rsidRPr="00000000">
              <w:rPr>
                <w:rFonts w:ascii="Calibri" w:cs="Calibri" w:eastAsia="Calibri" w:hAnsi="Calibri"/>
                <w:b w:val="1"/>
                <w:rtl w:val="0"/>
              </w:rPr>
              <w:t xml:space="preserve">21/22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D">
            <w:pPr>
              <w:widowControl w:val="0"/>
              <w:rPr>
                <w:rFonts w:ascii="Calibri" w:cs="Calibri" w:eastAsia="Calibri" w:hAnsi="Calibri"/>
              </w:rPr>
            </w:pPr>
            <w:r w:rsidDel="00000000" w:rsidR="00000000" w:rsidRPr="00000000">
              <w:rPr>
                <w:rFonts w:ascii="Calibri" w:cs="Calibri" w:eastAsia="Calibri" w:hAnsi="Calibri"/>
                <w:b w:val="1"/>
                <w:rtl w:val="0"/>
              </w:rPr>
              <w:t xml:space="preserve">22/23</w:t>
            </w: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E">
            <w:pPr>
              <w:widowControl w:val="0"/>
              <w:rPr>
                <w:rFonts w:ascii="Calibri" w:cs="Calibri" w:eastAsia="Calibri" w:hAnsi="Calibri"/>
              </w:rPr>
            </w:pPr>
            <w:r w:rsidDel="00000000" w:rsidR="00000000" w:rsidRPr="00000000">
              <w:rPr>
                <w:rFonts w:ascii="Calibri" w:cs="Calibri" w:eastAsia="Calibri" w:hAnsi="Calibri"/>
                <w:rtl w:val="0"/>
              </w:rPr>
              <w:t xml:space="preserve">Mean Bonus gap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BF">
            <w:pPr>
              <w:widowControl w:val="0"/>
              <w:jc w:val="center"/>
              <w:rPr>
                <w:rFonts w:ascii="Calibri" w:cs="Calibri" w:eastAsia="Calibri" w:hAnsi="Calibri"/>
              </w:rPr>
            </w:pPr>
            <w:r w:rsidDel="00000000" w:rsidR="00000000" w:rsidRPr="00000000">
              <w:rPr>
                <w:rtl w:val="0"/>
              </w:rPr>
              <w:t xml:space="preserve">77.12%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0">
            <w:pPr>
              <w:widowControl w:val="0"/>
              <w:jc w:val="center"/>
              <w:rPr>
                <w:rFonts w:ascii="Calibri" w:cs="Calibri" w:eastAsia="Calibri" w:hAnsi="Calibri"/>
              </w:rPr>
            </w:pPr>
            <w:r w:rsidDel="00000000" w:rsidR="00000000" w:rsidRPr="00000000">
              <w:rPr>
                <w:rtl w:val="0"/>
              </w:rPr>
              <w:t xml:space="preserve">58.10%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1">
            <w:pPr>
              <w:widowControl w:val="0"/>
              <w:jc w:val="center"/>
              <w:rPr>
                <w:rFonts w:ascii="Calibri" w:cs="Calibri" w:eastAsia="Calibri" w:hAnsi="Calibri"/>
              </w:rPr>
            </w:pPr>
            <w:r w:rsidDel="00000000" w:rsidR="00000000" w:rsidRPr="00000000">
              <w:rPr>
                <w:rtl w:val="0"/>
              </w:rPr>
              <w:t xml:space="preserve">59.40%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2">
            <w:pPr>
              <w:widowControl w:val="0"/>
              <w:jc w:val="center"/>
              <w:rPr>
                <w:rFonts w:ascii="Calibri" w:cs="Calibri" w:eastAsia="Calibri" w:hAnsi="Calibri"/>
              </w:rPr>
            </w:pPr>
            <w:r w:rsidDel="00000000" w:rsidR="00000000" w:rsidRPr="00000000">
              <w:rPr>
                <w:rtl w:val="0"/>
              </w:rPr>
              <w:t xml:space="preserve">42.60%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3">
            <w:pPr>
              <w:widowControl w:val="0"/>
              <w:jc w:val="right"/>
              <w:rPr>
                <w:rFonts w:ascii="Calibri" w:cs="Calibri" w:eastAsia="Calibri" w:hAnsi="Calibri"/>
              </w:rPr>
            </w:pPr>
            <w:r w:rsidDel="00000000" w:rsidR="00000000" w:rsidRPr="00000000">
              <w:rPr>
                <w:rFonts w:ascii="Calibri" w:cs="Calibri" w:eastAsia="Calibri" w:hAnsi="Calibri"/>
                <w:rtl w:val="0"/>
              </w:rPr>
              <w:t xml:space="preserve">51.59%</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4">
            <w:pPr>
              <w:widowControl w:val="0"/>
              <w:jc w:val="right"/>
              <w:rPr>
                <w:rFonts w:ascii="Calibri" w:cs="Calibri" w:eastAsia="Calibri" w:hAnsi="Calibri"/>
              </w:rPr>
            </w:pPr>
            <w:r w:rsidDel="00000000" w:rsidR="00000000" w:rsidRPr="00000000">
              <w:rPr>
                <w:rFonts w:ascii="Calibri" w:cs="Calibri" w:eastAsia="Calibri" w:hAnsi="Calibri"/>
                <w:rtl w:val="0"/>
              </w:rPr>
              <w:t xml:space="preserve">2.15%</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5">
            <w:pPr>
              <w:widowControl w:val="0"/>
              <w:jc w:val="right"/>
              <w:rPr>
                <w:rFonts w:ascii="Calibri" w:cs="Calibri" w:eastAsia="Calibri" w:hAnsi="Calibri"/>
              </w:rPr>
            </w:pPr>
            <w:r w:rsidDel="00000000" w:rsidR="00000000" w:rsidRPr="00000000">
              <w:rPr>
                <w:rFonts w:ascii="Calibri" w:cs="Calibri" w:eastAsia="Calibri" w:hAnsi="Calibri"/>
                <w:rtl w:val="0"/>
              </w:rPr>
              <w:t xml:space="preserve">-4.05%</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6">
            <w:pPr>
              <w:widowControl w:val="0"/>
              <w:rPr>
                <w:rFonts w:ascii="Calibri" w:cs="Calibri" w:eastAsia="Calibri" w:hAnsi="Calibri"/>
              </w:rPr>
            </w:pPr>
            <w:r w:rsidDel="00000000" w:rsidR="00000000" w:rsidRPr="00000000">
              <w:rPr>
                <w:rFonts w:ascii="Calibri" w:cs="Calibri" w:eastAsia="Calibri" w:hAnsi="Calibri"/>
                <w:rtl w:val="0"/>
              </w:rPr>
              <w:t xml:space="preserve">Median Bonus gap</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7">
            <w:pPr>
              <w:widowControl w:val="0"/>
              <w:jc w:val="center"/>
              <w:rPr>
                <w:rFonts w:ascii="Calibri" w:cs="Calibri" w:eastAsia="Calibri" w:hAnsi="Calibri"/>
              </w:rPr>
            </w:pPr>
            <w:r w:rsidDel="00000000" w:rsidR="00000000" w:rsidRPr="00000000">
              <w:rPr>
                <w:rtl w:val="0"/>
              </w:rPr>
              <w:t xml:space="preserve">33.30%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8">
            <w:pPr>
              <w:widowControl w:val="0"/>
              <w:jc w:val="center"/>
              <w:rPr>
                <w:rFonts w:ascii="Calibri" w:cs="Calibri" w:eastAsia="Calibri" w:hAnsi="Calibri"/>
              </w:rPr>
            </w:pPr>
            <w:r w:rsidDel="00000000" w:rsidR="00000000" w:rsidRPr="00000000">
              <w:rPr>
                <w:rtl w:val="0"/>
              </w:rPr>
              <w:t xml:space="preserve">20.00%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9">
            <w:pPr>
              <w:widowControl w:val="0"/>
              <w:jc w:val="center"/>
              <w:rPr>
                <w:rFonts w:ascii="Calibri" w:cs="Calibri" w:eastAsia="Calibri" w:hAnsi="Calibri"/>
              </w:rPr>
            </w:pPr>
            <w:r w:rsidDel="00000000" w:rsidR="00000000" w:rsidRPr="00000000">
              <w:rPr>
                <w:rtl w:val="0"/>
              </w:rPr>
              <w:t xml:space="preserve">33.30%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A">
            <w:pPr>
              <w:widowControl w:val="0"/>
              <w:jc w:val="center"/>
              <w:rPr>
                <w:rFonts w:ascii="Calibri" w:cs="Calibri" w:eastAsia="Calibri" w:hAnsi="Calibri"/>
              </w:rPr>
            </w:pPr>
            <w:r w:rsidDel="00000000" w:rsidR="00000000" w:rsidRPr="00000000">
              <w:rPr>
                <w:rtl w:val="0"/>
              </w:rPr>
              <w:t xml:space="preserve">28.67%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B">
            <w:pPr>
              <w:widowControl w:val="0"/>
              <w:jc w:val="right"/>
              <w:rPr>
                <w:rFonts w:ascii="Calibri" w:cs="Calibri" w:eastAsia="Calibri" w:hAnsi="Calibri"/>
              </w:rPr>
            </w:pPr>
            <w:r w:rsidDel="00000000" w:rsidR="00000000" w:rsidRPr="00000000">
              <w:rPr>
                <w:rFonts w:ascii="Calibri" w:cs="Calibri" w:eastAsia="Calibri" w:hAnsi="Calibri"/>
                <w:rtl w:val="0"/>
              </w:rPr>
              <w:t xml:space="preserve">32.34%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C">
            <w:pPr>
              <w:widowControl w:val="0"/>
              <w:jc w:val="right"/>
              <w:rPr>
                <w:rFonts w:ascii="Calibri" w:cs="Calibri" w:eastAsia="Calibri" w:hAnsi="Calibri"/>
              </w:rPr>
            </w:pPr>
            <w:r w:rsidDel="00000000" w:rsidR="00000000" w:rsidRPr="00000000">
              <w:rPr>
                <w:rFonts w:ascii="Calibri" w:cs="Calibri" w:eastAsia="Calibri" w:hAnsi="Calibri"/>
                <w:rtl w:val="0"/>
              </w:rPr>
              <w:t xml:space="preserve">22.74%</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CD">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300" w:hRule="atLeast"/>
          <w:tblHeader w:val="0"/>
        </w:trPr>
        <w:tc>
          <w:tcPr>
            <w:tcBorders>
              <w:top w:color="cccccc" w:space="0" w:sz="5" w:val="single"/>
              <w:left w:color="cccccc" w:space="0" w:sz="5" w:val="single"/>
              <w:bottom w:color="000000" w:space="0" w:sz="5" w:val="single"/>
              <w:right w:color="cccccc" w:space="0" w:sz="5"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widowControl w:val="0"/>
              <w:rPr>
                <w:rFonts w:ascii="Calibri" w:cs="Calibri" w:eastAsia="Calibri" w:hAnsi="Calibri"/>
              </w:rPr>
            </w:pPr>
            <w:r w:rsidDel="00000000" w:rsidR="00000000" w:rsidRPr="00000000">
              <w:rPr>
                <w:rFonts w:ascii="Calibri" w:cs="Calibri" w:eastAsia="Calibri" w:hAnsi="Calibri"/>
                <w:sz w:val="16"/>
                <w:szCs w:val="16"/>
                <w:rtl w:val="0"/>
              </w:rPr>
              <w:t xml:space="preserve">The large gap from 2017 to 2021 was due to one male employed on a commission basis, hence his salary was coded to 'bonus'.</w:t>
            </w: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CF">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D0">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D1">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D2">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D3">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D4">
            <w:pPr>
              <w:widowControl w:val="0"/>
              <w:rPr>
                <w:rFonts w:ascii="Calibri" w:cs="Calibri" w:eastAsia="Calibri" w:hAnsi="Calibri"/>
              </w:rPr>
            </w:pPr>
            <w:r w:rsidDel="00000000" w:rsidR="00000000" w:rsidRPr="00000000">
              <w:rPr>
                <w:rtl w:val="0"/>
              </w:rPr>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0D5">
            <w:pPr>
              <w:widowControl w:val="0"/>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6">
            <w:pPr>
              <w:widowControl w:val="0"/>
              <w:rPr>
                <w:rFonts w:ascii="Calibri" w:cs="Calibri" w:eastAsia="Calibri" w:hAnsi="Calibri"/>
              </w:rPr>
            </w:pPr>
            <w:r w:rsidDel="00000000" w:rsidR="00000000" w:rsidRPr="00000000">
              <w:rPr>
                <w:rFonts w:ascii="Calibri" w:cs="Calibri" w:eastAsia="Calibri" w:hAnsi="Calibri"/>
                <w:b w:val="1"/>
                <w:rtl w:val="0"/>
              </w:rPr>
              <w:t xml:space="preserve">Brunelcare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7">
            <w:pPr>
              <w:widowControl w:val="0"/>
              <w:rPr>
                <w:rFonts w:ascii="Calibri" w:cs="Calibri" w:eastAsia="Calibri" w:hAnsi="Calibri"/>
              </w:rPr>
            </w:pPr>
            <w:r w:rsidDel="00000000" w:rsidR="00000000" w:rsidRPr="00000000">
              <w:rPr>
                <w:rFonts w:ascii="Calibri" w:cs="Calibri" w:eastAsia="Calibri" w:hAnsi="Calibri"/>
                <w:b w:val="1"/>
                <w:rtl w:val="0"/>
              </w:rPr>
              <w:t xml:space="preserve">16/17</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8">
            <w:pPr>
              <w:widowControl w:val="0"/>
              <w:rPr>
                <w:rFonts w:ascii="Calibri" w:cs="Calibri" w:eastAsia="Calibri" w:hAnsi="Calibri"/>
              </w:rPr>
            </w:pPr>
            <w:r w:rsidDel="00000000" w:rsidR="00000000" w:rsidRPr="00000000">
              <w:rPr>
                <w:rFonts w:ascii="Calibri" w:cs="Calibri" w:eastAsia="Calibri" w:hAnsi="Calibri"/>
                <w:b w:val="1"/>
                <w:rtl w:val="0"/>
              </w:rPr>
              <w:t xml:space="preserve">17/18</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9">
            <w:pPr>
              <w:widowControl w:val="0"/>
              <w:rPr>
                <w:rFonts w:ascii="Calibri" w:cs="Calibri" w:eastAsia="Calibri" w:hAnsi="Calibri"/>
              </w:rPr>
            </w:pPr>
            <w:r w:rsidDel="00000000" w:rsidR="00000000" w:rsidRPr="00000000">
              <w:rPr>
                <w:rFonts w:ascii="Calibri" w:cs="Calibri" w:eastAsia="Calibri" w:hAnsi="Calibri"/>
                <w:b w:val="1"/>
                <w:rtl w:val="0"/>
              </w:rPr>
              <w:t xml:space="preserve">18/19</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A">
            <w:pPr>
              <w:widowControl w:val="0"/>
              <w:rPr>
                <w:rFonts w:ascii="Calibri" w:cs="Calibri" w:eastAsia="Calibri" w:hAnsi="Calibri"/>
              </w:rPr>
            </w:pPr>
            <w:r w:rsidDel="00000000" w:rsidR="00000000" w:rsidRPr="00000000">
              <w:rPr>
                <w:rFonts w:ascii="Calibri" w:cs="Calibri" w:eastAsia="Calibri" w:hAnsi="Calibri"/>
                <w:b w:val="1"/>
                <w:rtl w:val="0"/>
              </w:rPr>
              <w:t xml:space="preserve">19/20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B">
            <w:pPr>
              <w:widowControl w:val="0"/>
              <w:rPr>
                <w:rFonts w:ascii="Calibri" w:cs="Calibri" w:eastAsia="Calibri" w:hAnsi="Calibri"/>
              </w:rPr>
            </w:pPr>
            <w:r w:rsidDel="00000000" w:rsidR="00000000" w:rsidRPr="00000000">
              <w:rPr>
                <w:rFonts w:ascii="Calibri" w:cs="Calibri" w:eastAsia="Calibri" w:hAnsi="Calibri"/>
                <w:b w:val="1"/>
                <w:rtl w:val="0"/>
              </w:rPr>
              <w:t xml:space="preserve">20/21</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C">
            <w:pPr>
              <w:widowControl w:val="0"/>
              <w:rPr>
                <w:rFonts w:ascii="Calibri" w:cs="Calibri" w:eastAsia="Calibri" w:hAnsi="Calibri"/>
              </w:rPr>
            </w:pPr>
            <w:r w:rsidDel="00000000" w:rsidR="00000000" w:rsidRPr="00000000">
              <w:rPr>
                <w:rFonts w:ascii="Calibri" w:cs="Calibri" w:eastAsia="Calibri" w:hAnsi="Calibri"/>
                <w:b w:val="1"/>
                <w:rtl w:val="0"/>
              </w:rPr>
              <w:t xml:space="preserve">21/22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D">
            <w:pPr>
              <w:widowControl w:val="0"/>
              <w:rPr>
                <w:rFonts w:ascii="Calibri" w:cs="Calibri" w:eastAsia="Calibri" w:hAnsi="Calibri"/>
              </w:rPr>
            </w:pPr>
            <w:r w:rsidDel="00000000" w:rsidR="00000000" w:rsidRPr="00000000">
              <w:rPr>
                <w:rFonts w:ascii="Calibri" w:cs="Calibri" w:eastAsia="Calibri" w:hAnsi="Calibri"/>
                <w:b w:val="1"/>
                <w:rtl w:val="0"/>
              </w:rPr>
              <w:t xml:space="preserve">22/23</w:t>
            </w:r>
            <w:r w:rsidDel="00000000" w:rsidR="00000000" w:rsidRPr="00000000">
              <w:rPr>
                <w:rtl w:val="0"/>
              </w:rPr>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E">
            <w:pPr>
              <w:widowControl w:val="0"/>
              <w:rPr>
                <w:rFonts w:ascii="Calibri" w:cs="Calibri" w:eastAsia="Calibri" w:hAnsi="Calibri"/>
              </w:rPr>
            </w:pPr>
            <w:r w:rsidDel="00000000" w:rsidR="00000000" w:rsidRPr="00000000">
              <w:rPr>
                <w:rFonts w:ascii="Calibri" w:cs="Calibri" w:eastAsia="Calibri" w:hAnsi="Calibri"/>
                <w:rtl w:val="0"/>
              </w:rPr>
              <w:t xml:space="preserve">Men receiving a bonus</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tl w:val="0"/>
              </w:rPr>
              <w:t xml:space="preserve">9.50%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tl w:val="0"/>
              </w:rPr>
              <w:t xml:space="preserve">12.80%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tl w:val="0"/>
              </w:rPr>
              <w:t xml:space="preserve">12.00%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2">
            <w:pPr>
              <w:widowControl w:val="0"/>
              <w:jc w:val="center"/>
              <w:rPr>
                <w:rFonts w:ascii="Calibri" w:cs="Calibri" w:eastAsia="Calibri" w:hAnsi="Calibri"/>
              </w:rPr>
            </w:pPr>
            <w:r w:rsidDel="00000000" w:rsidR="00000000" w:rsidRPr="00000000">
              <w:rPr>
                <w:rtl w:val="0"/>
              </w:rPr>
              <w:t xml:space="preserve">108.80%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widowControl w:val="0"/>
              <w:jc w:val="right"/>
              <w:rPr>
                <w:rFonts w:ascii="Calibri" w:cs="Calibri" w:eastAsia="Calibri" w:hAnsi="Calibri"/>
              </w:rPr>
            </w:pPr>
            <w:r w:rsidDel="00000000" w:rsidR="00000000" w:rsidRPr="00000000">
              <w:rPr>
                <w:rFonts w:ascii="Calibri" w:cs="Calibri" w:eastAsia="Calibri" w:hAnsi="Calibri"/>
                <w:rtl w:val="0"/>
              </w:rPr>
              <w:t xml:space="preserve">8.77%</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4">
            <w:pPr>
              <w:widowControl w:val="0"/>
              <w:jc w:val="right"/>
              <w:rPr>
                <w:rFonts w:ascii="Calibri" w:cs="Calibri" w:eastAsia="Calibri" w:hAnsi="Calibri"/>
              </w:rPr>
            </w:pPr>
            <w:r w:rsidDel="00000000" w:rsidR="00000000" w:rsidRPr="00000000">
              <w:rPr>
                <w:rFonts w:ascii="Calibri" w:cs="Calibri" w:eastAsia="Calibri" w:hAnsi="Calibri"/>
                <w:rtl w:val="0"/>
              </w:rPr>
              <w:t xml:space="preserve">17.90%</w:t>
            </w:r>
          </w:p>
        </w:tc>
        <w:tc>
          <w:tcPr>
            <w:tcBorders>
              <w:top w:color="cccccc" w:space="0" w:sz="5" w:val="single"/>
              <w:left w:color="cccccc" w:space="0" w:sz="5" w:val="single"/>
              <w:bottom w:color="000000" w:space="0" w:sz="5" w:val="single"/>
              <w:right w:color="000000" w:space="0" w:sz="5"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widowControl w:val="0"/>
              <w:jc w:val="right"/>
              <w:rPr>
                <w:rFonts w:ascii="Calibri" w:cs="Calibri" w:eastAsia="Calibri" w:hAnsi="Calibri"/>
              </w:rPr>
            </w:pPr>
            <w:r w:rsidDel="00000000" w:rsidR="00000000" w:rsidRPr="00000000">
              <w:rPr>
                <w:rFonts w:ascii="Calibri" w:cs="Calibri" w:eastAsia="Calibri" w:hAnsi="Calibri"/>
                <w:rtl w:val="0"/>
              </w:rPr>
              <w:t xml:space="preserve">15.79%</w:t>
            </w:r>
          </w:p>
        </w:tc>
      </w:tr>
      <w:tr>
        <w:trPr>
          <w:cantSplit w:val="0"/>
          <w:trHeight w:val="300"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6">
            <w:pPr>
              <w:widowControl w:val="0"/>
              <w:rPr>
                <w:rFonts w:ascii="Calibri" w:cs="Calibri" w:eastAsia="Calibri" w:hAnsi="Calibri"/>
              </w:rPr>
            </w:pPr>
            <w:r w:rsidDel="00000000" w:rsidR="00000000" w:rsidRPr="00000000">
              <w:rPr>
                <w:rFonts w:ascii="Calibri" w:cs="Calibri" w:eastAsia="Calibri" w:hAnsi="Calibri"/>
                <w:rtl w:val="0"/>
              </w:rPr>
              <w:t xml:space="preserve">Women receiving a bonus</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7">
            <w:pPr>
              <w:widowControl w:val="0"/>
              <w:jc w:val="center"/>
              <w:rPr>
                <w:rFonts w:ascii="Calibri" w:cs="Calibri" w:eastAsia="Calibri" w:hAnsi="Calibri"/>
              </w:rPr>
            </w:pPr>
            <w:r w:rsidDel="00000000" w:rsidR="00000000" w:rsidRPr="00000000">
              <w:rPr>
                <w:rtl w:val="0"/>
              </w:rPr>
              <w:t xml:space="preserve">9.30%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8">
            <w:pPr>
              <w:widowControl w:val="0"/>
              <w:jc w:val="center"/>
              <w:rPr>
                <w:rFonts w:ascii="Calibri" w:cs="Calibri" w:eastAsia="Calibri" w:hAnsi="Calibri"/>
              </w:rPr>
            </w:pPr>
            <w:r w:rsidDel="00000000" w:rsidR="00000000" w:rsidRPr="00000000">
              <w:rPr>
                <w:rtl w:val="0"/>
              </w:rPr>
              <w:t xml:space="preserve">12.00%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9">
            <w:pPr>
              <w:widowControl w:val="0"/>
              <w:jc w:val="center"/>
              <w:rPr>
                <w:rFonts w:ascii="Calibri" w:cs="Calibri" w:eastAsia="Calibri" w:hAnsi="Calibri"/>
              </w:rPr>
            </w:pPr>
            <w:r w:rsidDel="00000000" w:rsidR="00000000" w:rsidRPr="00000000">
              <w:rPr>
                <w:rtl w:val="0"/>
              </w:rPr>
              <w:t xml:space="preserve">10%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A">
            <w:pPr>
              <w:widowControl w:val="0"/>
              <w:jc w:val="center"/>
              <w:rPr>
                <w:rFonts w:ascii="Calibri" w:cs="Calibri" w:eastAsia="Calibri" w:hAnsi="Calibri"/>
              </w:rPr>
            </w:pPr>
            <w:r w:rsidDel="00000000" w:rsidR="00000000" w:rsidRPr="00000000">
              <w:rPr>
                <w:rtl w:val="0"/>
              </w:rPr>
              <w:t xml:space="preserve">115.30%</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B">
            <w:pPr>
              <w:widowControl w:val="0"/>
              <w:jc w:val="right"/>
              <w:rPr>
                <w:rFonts w:ascii="Calibri" w:cs="Calibri" w:eastAsia="Calibri" w:hAnsi="Calibri"/>
              </w:rPr>
            </w:pPr>
            <w:r w:rsidDel="00000000" w:rsidR="00000000" w:rsidRPr="00000000">
              <w:rPr>
                <w:rFonts w:ascii="Calibri" w:cs="Calibri" w:eastAsia="Calibri" w:hAnsi="Calibri"/>
                <w:rtl w:val="0"/>
              </w:rPr>
              <w:t xml:space="preserve">7.36%</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0EC">
            <w:pPr>
              <w:widowControl w:val="0"/>
              <w:jc w:val="right"/>
              <w:rPr>
                <w:rFonts w:ascii="Calibri" w:cs="Calibri" w:eastAsia="Calibri" w:hAnsi="Calibri"/>
              </w:rPr>
            </w:pPr>
            <w:r w:rsidDel="00000000" w:rsidR="00000000" w:rsidRPr="00000000">
              <w:rPr>
                <w:rFonts w:ascii="Calibri" w:cs="Calibri" w:eastAsia="Calibri" w:hAnsi="Calibri"/>
                <w:rtl w:val="0"/>
              </w:rPr>
              <w:t xml:space="preserve">20.80%</w:t>
            </w:r>
          </w:p>
        </w:tc>
        <w:tc>
          <w:tcPr>
            <w:tcBorders>
              <w:top w:color="cccccc" w:space="0" w:sz="5" w:val="single"/>
              <w:left w:color="cccccc" w:space="0" w:sz="5" w:val="single"/>
              <w:bottom w:color="000000" w:space="0" w:sz="5" w:val="single"/>
              <w:right w:color="000000" w:space="0" w:sz="5"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widowControl w:val="0"/>
              <w:jc w:val="right"/>
              <w:rPr>
                <w:rFonts w:ascii="Calibri" w:cs="Calibri" w:eastAsia="Calibri" w:hAnsi="Calibri"/>
              </w:rPr>
            </w:pPr>
            <w:r w:rsidDel="00000000" w:rsidR="00000000" w:rsidRPr="00000000">
              <w:rPr>
                <w:rFonts w:ascii="Calibri" w:cs="Calibri" w:eastAsia="Calibri" w:hAnsi="Calibri"/>
                <w:rtl w:val="0"/>
              </w:rPr>
              <w:t xml:space="preserve">16.63%</w:t>
            </w:r>
          </w:p>
        </w:tc>
      </w:tr>
    </w:tbl>
    <w:p w:rsidR="00000000" w:rsidDel="00000000" w:rsidP="00000000" w:rsidRDefault="00000000" w:rsidRPr="00000000" w14:paraId="000000EE">
      <w:pPr>
        <w:spacing w:after="200" w:line="276" w:lineRule="auto"/>
        <w:jc w:val="both"/>
        <w:rPr>
          <w:sz w:val="24"/>
          <w:szCs w:val="24"/>
        </w:rPr>
      </w:pPr>
      <w:bookmarkStart w:colFirst="0" w:colLast="0" w:name="_rg77ah1t15hz" w:id="5"/>
      <w:bookmarkEnd w:id="5"/>
      <w:r w:rsidDel="00000000" w:rsidR="00000000" w:rsidRPr="00000000">
        <w:rPr>
          <w:rtl w:val="0"/>
        </w:rPr>
      </w:r>
    </w:p>
    <w:p w:rsidR="00000000" w:rsidDel="00000000" w:rsidP="00000000" w:rsidRDefault="00000000" w:rsidRPr="00000000" w14:paraId="000000EF">
      <w:pPr>
        <w:spacing w:after="200" w:line="276" w:lineRule="auto"/>
        <w:jc w:val="both"/>
        <w:rPr>
          <w:sz w:val="24"/>
          <w:szCs w:val="24"/>
        </w:rPr>
      </w:pPr>
      <w:bookmarkStart w:colFirst="0" w:colLast="0" w:name="_lljip1alz9hk" w:id="6"/>
      <w:bookmarkEnd w:id="6"/>
      <w:r w:rsidDel="00000000" w:rsidR="00000000" w:rsidRPr="00000000">
        <w:rPr>
          <w:sz w:val="24"/>
          <w:szCs w:val="24"/>
          <w:rtl w:val="0"/>
        </w:rPr>
        <w:t xml:space="preserve">Allocation by quartile:</w:t>
      </w:r>
    </w:p>
    <w:p w:rsidR="00000000" w:rsidDel="00000000" w:rsidP="00000000" w:rsidRDefault="00000000" w:rsidRPr="00000000" w14:paraId="000000F0">
      <w:pPr>
        <w:spacing w:after="200" w:line="276" w:lineRule="auto"/>
        <w:jc w:val="center"/>
        <w:rPr>
          <w:sz w:val="24"/>
          <w:szCs w:val="24"/>
        </w:rPr>
      </w:pPr>
      <w:bookmarkStart w:colFirst="0" w:colLast="0" w:name="_88o3pug2df6k" w:id="7"/>
      <w:bookmarkEnd w:id="7"/>
      <w:r w:rsidDel="00000000" w:rsidR="00000000" w:rsidRPr="00000000">
        <w:rPr>
          <w:sz w:val="24"/>
          <w:szCs w:val="24"/>
        </w:rPr>
        <w:drawing>
          <wp:inline distB="114300" distT="114300" distL="114300" distR="114300">
            <wp:extent cx="5778825" cy="3568700"/>
            <wp:effectExtent b="0" l="0" r="0" t="0"/>
            <wp:docPr descr="Chart" id="2" name="image3.png"/>
            <a:graphic>
              <a:graphicData uri="http://schemas.openxmlformats.org/drawingml/2006/picture">
                <pic:pic>
                  <pic:nvPicPr>
                    <pic:cNvPr descr="Chart" id="0" name="image3.png"/>
                    <pic:cNvPicPr preferRelativeResize="0"/>
                  </pic:nvPicPr>
                  <pic:blipFill>
                    <a:blip r:embed="rId10"/>
                    <a:srcRect b="0" l="0" r="0" t="0"/>
                    <a:stretch>
                      <a:fillRect/>
                    </a:stretch>
                  </pic:blipFill>
                  <pic:spPr>
                    <a:xfrm>
                      <a:off x="0" y="0"/>
                      <a:ext cx="5778825" cy="3568700"/>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spacing w:line="276" w:lineRule="auto"/>
        <w:jc w:val="right"/>
        <w:rPr>
          <w:sz w:val="24"/>
          <w:szCs w:val="24"/>
        </w:rPr>
      </w:pPr>
      <w:r w:rsidDel="00000000" w:rsidR="00000000" w:rsidRPr="00000000">
        <w:rPr>
          <w:rtl w:val="0"/>
        </w:rPr>
      </w:r>
    </w:p>
    <w:p w:rsidR="00000000" w:rsidDel="00000000" w:rsidP="00000000" w:rsidRDefault="00000000" w:rsidRPr="00000000" w14:paraId="000000F2">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3">
      <w:pPr>
        <w:ind w:firstLine="0"/>
        <w:rPr>
          <w:rFonts w:ascii="Montserrat" w:cs="Montserrat" w:eastAsia="Montserrat" w:hAnsi="Montserrat"/>
          <w:color w:val="102c40"/>
          <w:sz w:val="24"/>
          <w:szCs w:val="24"/>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2103.8976377952763" w:top="1559.0551181102362" w:left="850.3937007874016" w:right="854.8818897637813" w:header="113.38582677165356"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spacing w:line="240" w:lineRule="auto"/>
      <w:jc w:val="both"/>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widowControl w:val="0"/>
      <w:spacing w:line="240" w:lineRule="auto"/>
      <w:jc w:val="left"/>
      <w:rPr/>
    </w:pPr>
    <w:r w:rsidDel="00000000" w:rsidR="00000000" w:rsidRPr="00000000">
      <w:rPr/>
      <w:drawing>
        <wp:anchor allowOverlap="1" behindDoc="0" distB="0" distT="0" distL="0" distR="0" hidden="0" layoutInCell="1" locked="0" relativeHeight="0" simplePos="0">
          <wp:simplePos x="0" y="0"/>
          <wp:positionH relativeFrom="page">
            <wp:posOffset>-2849</wp:posOffset>
          </wp:positionH>
          <wp:positionV relativeFrom="page">
            <wp:posOffset>47625</wp:posOffset>
          </wp:positionV>
          <wp:extent cx="7562850" cy="1800225"/>
          <wp:effectExtent b="0" l="0" r="0" t="0"/>
          <wp:wrapSquare wrapText="bothSides" distB="0" distT="0" distL="0" distR="0"/>
          <wp:docPr id="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562850" cy="180022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ons.gov.uk/employmentandlabourmarket/peopleinwork/earningsandworkinghours/bulletins/genderpaygapintheuk/2023#:~:text=This%20is%20still%20below%20the,seen%20in%202019%20(17.4%25)." TargetMode="External"/><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